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907"/>
        <w:gridCol w:w="3083"/>
      </w:tblGrid>
      <w:tr w:rsidR="006B4543" w:rsidRPr="006B4543" w:rsidTr="003E6410">
        <w:tc>
          <w:tcPr>
            <w:tcW w:w="3083" w:type="dxa"/>
            <w:tcBorders>
              <w:bottom w:val="single" w:sz="18" w:space="0" w:color="auto"/>
            </w:tcBorders>
          </w:tcPr>
          <w:p w:rsidR="006B4543" w:rsidRPr="006B4543" w:rsidRDefault="006B4543" w:rsidP="006B4543">
            <w:pPr>
              <w:bidi/>
              <w:jc w:val="lowKashida"/>
              <w:rPr>
                <w:sz w:val="24"/>
                <w:szCs w:val="24"/>
                <w:lang w:bidi="fa-IR"/>
              </w:rPr>
            </w:pPr>
          </w:p>
        </w:tc>
        <w:tc>
          <w:tcPr>
            <w:tcW w:w="2907" w:type="dxa"/>
            <w:tcBorders>
              <w:bottom w:val="single" w:sz="18" w:space="0" w:color="auto"/>
            </w:tcBorders>
          </w:tcPr>
          <w:p w:rsidR="006B4543" w:rsidRDefault="006B4543" w:rsidP="006B4543">
            <w:pPr>
              <w:bidi/>
              <w:jc w:val="center"/>
              <w:rPr>
                <w:rFonts w:ascii="IranNastaliq" w:hAnsi="IranNastaliq" w:cs="IranNastaliq"/>
                <w:b/>
                <w:bCs/>
                <w:sz w:val="24"/>
                <w:szCs w:val="24"/>
                <w:rtl/>
                <w:lang w:bidi="fa-IR"/>
              </w:rPr>
            </w:pPr>
            <w:r w:rsidRPr="006B4543">
              <w:rPr>
                <w:rFonts w:ascii="IranNastaliq" w:hAnsi="IranNastaliq" w:cs="IranNastaliq"/>
                <w:b/>
                <w:bCs/>
                <w:sz w:val="24"/>
                <w:szCs w:val="24"/>
                <w:rtl/>
                <w:lang w:bidi="fa-IR"/>
              </w:rPr>
              <w:t>به‌نام خدا</w:t>
            </w:r>
          </w:p>
          <w:p w:rsidR="006B4543" w:rsidRPr="006B4543" w:rsidRDefault="006B4543" w:rsidP="006B4543">
            <w:pPr>
              <w:bidi/>
              <w:jc w:val="center"/>
              <w:rPr>
                <w:rFonts w:ascii="IranNastaliq" w:hAnsi="IranNastaliq" w:cs="IranNastaliq"/>
                <w:b/>
                <w:bCs/>
                <w:sz w:val="24"/>
                <w:szCs w:val="24"/>
                <w:rtl/>
                <w:lang w:bidi="fa-IR"/>
              </w:rPr>
            </w:pPr>
          </w:p>
        </w:tc>
        <w:tc>
          <w:tcPr>
            <w:tcW w:w="3083" w:type="dxa"/>
            <w:tcBorders>
              <w:bottom w:val="single" w:sz="18" w:space="0" w:color="auto"/>
            </w:tcBorders>
          </w:tcPr>
          <w:p w:rsidR="006B4543" w:rsidRPr="006B4543" w:rsidRDefault="006B4543" w:rsidP="006B4543">
            <w:pPr>
              <w:bidi/>
              <w:jc w:val="lowKashida"/>
              <w:rPr>
                <w:sz w:val="24"/>
                <w:szCs w:val="24"/>
                <w:rtl/>
                <w:lang w:bidi="fa-IR"/>
              </w:rPr>
            </w:pPr>
          </w:p>
        </w:tc>
      </w:tr>
      <w:tr w:rsidR="006B4543" w:rsidRPr="006B4543" w:rsidTr="003E6410">
        <w:tc>
          <w:tcPr>
            <w:tcW w:w="3083" w:type="dxa"/>
            <w:tcBorders>
              <w:top w:val="single" w:sz="18" w:space="0" w:color="auto"/>
              <w:left w:val="single" w:sz="18" w:space="0" w:color="auto"/>
              <w:bottom w:val="single" w:sz="18" w:space="0" w:color="auto"/>
            </w:tcBorders>
          </w:tcPr>
          <w:p w:rsidR="006B4543" w:rsidRPr="006B4543" w:rsidRDefault="006B4543" w:rsidP="003E6410">
            <w:pPr>
              <w:bidi/>
              <w:spacing w:before="240" w:after="240"/>
              <w:jc w:val="lowKashida"/>
              <w:rPr>
                <w:rFonts w:cs="B Titr"/>
                <w:sz w:val="24"/>
                <w:szCs w:val="24"/>
                <w:rtl/>
                <w:lang w:bidi="fa-IR"/>
              </w:rPr>
            </w:pPr>
            <w:r w:rsidRPr="006B4543">
              <w:rPr>
                <w:rFonts w:cs="B Titr" w:hint="cs"/>
                <w:sz w:val="24"/>
                <w:szCs w:val="24"/>
                <w:rtl/>
                <w:lang w:bidi="fa-IR"/>
              </w:rPr>
              <w:t>درس مباحث منتخب مالی</w:t>
            </w:r>
          </w:p>
          <w:p w:rsidR="006B4543" w:rsidRPr="006B4543" w:rsidRDefault="006B4543" w:rsidP="000C258E">
            <w:pPr>
              <w:bidi/>
              <w:spacing w:before="240" w:after="240"/>
              <w:jc w:val="lowKashida"/>
              <w:rPr>
                <w:rFonts w:cs="B Titr"/>
                <w:sz w:val="24"/>
                <w:szCs w:val="24"/>
                <w:rtl/>
                <w:lang w:bidi="fa-IR"/>
              </w:rPr>
            </w:pPr>
            <w:r w:rsidRPr="006B4543">
              <w:rPr>
                <w:rFonts w:cs="B Titr" w:hint="cs"/>
                <w:sz w:val="24"/>
                <w:szCs w:val="24"/>
                <w:rtl/>
                <w:lang w:bidi="fa-IR"/>
              </w:rPr>
              <w:t xml:space="preserve">نیمسال </w:t>
            </w:r>
            <w:r w:rsidR="000C258E">
              <w:rPr>
                <w:rFonts w:cs="B Titr" w:hint="cs"/>
                <w:sz w:val="24"/>
                <w:szCs w:val="24"/>
                <w:rtl/>
                <w:lang w:bidi="fa-IR"/>
              </w:rPr>
              <w:t>دوم</w:t>
            </w:r>
            <w:r w:rsidRPr="006B4543">
              <w:rPr>
                <w:rFonts w:cs="B Titr" w:hint="cs"/>
                <w:sz w:val="24"/>
                <w:szCs w:val="24"/>
                <w:rtl/>
                <w:lang w:bidi="fa-IR"/>
              </w:rPr>
              <w:t xml:space="preserve"> تحصیلی</w:t>
            </w:r>
            <w:r w:rsidR="0069560E">
              <w:rPr>
                <w:rFonts w:cs="B Titr"/>
                <w:sz w:val="24"/>
                <w:szCs w:val="24"/>
                <w:lang w:bidi="fa-IR"/>
              </w:rPr>
              <w:t xml:space="preserve"> </w:t>
            </w:r>
            <w:r w:rsidR="0069560E">
              <w:rPr>
                <w:rFonts w:cs="B Titr" w:hint="cs"/>
                <w:sz w:val="24"/>
                <w:szCs w:val="24"/>
                <w:rtl/>
                <w:lang w:bidi="fa-IR"/>
              </w:rPr>
              <w:t xml:space="preserve"> 93-92</w:t>
            </w:r>
          </w:p>
        </w:tc>
        <w:tc>
          <w:tcPr>
            <w:tcW w:w="2907" w:type="dxa"/>
            <w:tcBorders>
              <w:top w:val="single" w:sz="18" w:space="0" w:color="auto"/>
              <w:bottom w:val="single" w:sz="18" w:space="0" w:color="auto"/>
            </w:tcBorders>
          </w:tcPr>
          <w:p w:rsidR="006B4543" w:rsidRPr="006B4543" w:rsidRDefault="006B4543" w:rsidP="003E6410">
            <w:pPr>
              <w:bidi/>
              <w:spacing w:before="240" w:after="240"/>
              <w:jc w:val="lowKashida"/>
              <w:rPr>
                <w:rFonts w:cs="B Titr"/>
                <w:sz w:val="24"/>
                <w:szCs w:val="24"/>
                <w:rtl/>
                <w:lang w:bidi="fa-IR"/>
              </w:rPr>
            </w:pPr>
          </w:p>
        </w:tc>
        <w:tc>
          <w:tcPr>
            <w:tcW w:w="3083" w:type="dxa"/>
            <w:tcBorders>
              <w:top w:val="single" w:sz="18" w:space="0" w:color="auto"/>
              <w:bottom w:val="single" w:sz="18" w:space="0" w:color="auto"/>
              <w:right w:val="single" w:sz="18" w:space="0" w:color="auto"/>
            </w:tcBorders>
          </w:tcPr>
          <w:p w:rsidR="006B4543" w:rsidRPr="006B4543" w:rsidRDefault="006B4543" w:rsidP="000C258E">
            <w:pPr>
              <w:bidi/>
              <w:spacing w:before="240" w:after="240"/>
              <w:jc w:val="right"/>
              <w:rPr>
                <w:rFonts w:cs="B Titr"/>
                <w:sz w:val="24"/>
                <w:szCs w:val="24"/>
                <w:rtl/>
                <w:lang w:bidi="fa-IR"/>
              </w:rPr>
            </w:pPr>
            <w:r w:rsidRPr="006B4543">
              <w:rPr>
                <w:rFonts w:cs="B Titr" w:hint="cs"/>
                <w:sz w:val="24"/>
                <w:szCs w:val="24"/>
                <w:rtl/>
                <w:lang w:bidi="fa-IR"/>
              </w:rPr>
              <w:t xml:space="preserve">امتحان </w:t>
            </w:r>
            <w:r w:rsidR="000C258E">
              <w:rPr>
                <w:rFonts w:cs="B Titr" w:hint="cs"/>
                <w:sz w:val="24"/>
                <w:szCs w:val="24"/>
                <w:rtl/>
                <w:lang w:bidi="fa-IR"/>
              </w:rPr>
              <w:t>پایان ترم</w:t>
            </w:r>
          </w:p>
          <w:p w:rsidR="006B4543" w:rsidRPr="006B4543" w:rsidRDefault="006B4543" w:rsidP="003E6410">
            <w:pPr>
              <w:bidi/>
              <w:spacing w:before="240" w:after="240"/>
              <w:jc w:val="right"/>
              <w:rPr>
                <w:rFonts w:cs="B Titr"/>
                <w:sz w:val="24"/>
                <w:szCs w:val="24"/>
                <w:rtl/>
                <w:lang w:bidi="fa-IR"/>
              </w:rPr>
            </w:pPr>
            <w:r w:rsidRPr="006B4543">
              <w:rPr>
                <w:rFonts w:cs="B Titr" w:hint="cs"/>
                <w:sz w:val="24"/>
                <w:szCs w:val="24"/>
                <w:rtl/>
                <w:lang w:bidi="fa-IR"/>
              </w:rPr>
              <w:t>زمان: 1:30 دقیقه</w:t>
            </w:r>
          </w:p>
        </w:tc>
      </w:tr>
    </w:tbl>
    <w:p w:rsidR="006B4543" w:rsidRPr="006B4543" w:rsidRDefault="003E6410" w:rsidP="006B4543">
      <w:pPr>
        <w:bidi/>
        <w:spacing w:after="0" w:line="360" w:lineRule="auto"/>
        <w:jc w:val="lowKashida"/>
        <w:rPr>
          <w:rFonts w:ascii="Times New Roman" w:hAnsi="Times New Roman" w:cs="B Nazanin"/>
          <w:sz w:val="24"/>
          <w:szCs w:val="24"/>
          <w:rtl/>
          <w:lang w:bidi="fa-IR"/>
        </w:rPr>
      </w:pPr>
      <w:r>
        <w:rPr>
          <w:rFonts w:ascii="Times New Roman" w:hAnsi="Times New Roman" w:cs="B Nazanin" w:hint="cs"/>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-174361</wp:posOffset>
                </wp:positionH>
                <wp:positionV relativeFrom="paragraph">
                  <wp:posOffset>87930</wp:posOffset>
                </wp:positionV>
                <wp:extent cx="5753818" cy="7185803"/>
                <wp:effectExtent l="0" t="0" r="18415" b="15240"/>
                <wp:wrapNone/>
                <wp:docPr id="1" name="Rectangle 1"/>
                <wp:cNvGraphicFramePr/>
                <a:graphic xmlns:a="http://schemas.openxmlformats.org/drawingml/2006/main">
                  <a:graphicData uri="http://schemas.microsoft.com/office/word/2010/wordprocessingShape">
                    <wps:wsp>
                      <wps:cNvSpPr/>
                      <wps:spPr>
                        <a:xfrm>
                          <a:off x="0" y="0"/>
                          <a:ext cx="5753818" cy="7185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3.75pt;margin-top:6.9pt;width:453.05pt;height:56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" filled="f" strokecolor="black [3213]" strokeweight="2pt"/>
            </w:pict>
          </mc:Fallback>
        </mc:AlternateContent>
      </w:r>
    </w:p>
    <w:p w:rsidR="006B4543" w:rsidRDefault="00923A3A" w:rsidP="00AE4A74">
      <w:pPr>
        <w:pStyle w:val="ListParagraph"/>
        <w:numPr>
          <w:ilvl w:val="0"/>
          <w:numId w:val="1"/>
        </w:numPr>
        <w:bidi/>
        <w:spacing w:after="240" w:line="240" w:lineRule="auto"/>
        <w:jc w:val="lowKashida"/>
        <w:rPr>
          <w:rFonts w:ascii="Times New Roman" w:hAnsi="Times New Roman" w:cs="B Zar"/>
          <w:sz w:val="28"/>
          <w:szCs w:val="28"/>
          <w:lang w:bidi="fa-IR"/>
        </w:rPr>
      </w:pPr>
      <w:r>
        <w:rPr>
          <w:rFonts w:ascii="Times New Roman" w:hAnsi="Times New Roman" w:cs="B Zar" w:hint="cs"/>
          <w:sz w:val="28"/>
          <w:szCs w:val="28"/>
          <w:rtl/>
          <w:lang w:bidi="fa-IR"/>
        </w:rPr>
        <w:t xml:space="preserve">شرکت </w:t>
      </w:r>
      <w:r w:rsidR="00DC68E9">
        <w:rPr>
          <w:rFonts w:ascii="Times New Roman" w:hAnsi="Times New Roman" w:cs="B Zar"/>
          <w:sz w:val="28"/>
          <w:szCs w:val="28"/>
          <w:lang w:bidi="fa-IR"/>
        </w:rPr>
        <w:t>ABC</w:t>
      </w:r>
      <w:r>
        <w:rPr>
          <w:rFonts w:ascii="Times New Roman" w:hAnsi="Times New Roman" w:cs="B Zar" w:hint="cs"/>
          <w:sz w:val="28"/>
          <w:szCs w:val="28"/>
          <w:rtl/>
          <w:lang w:bidi="fa-IR"/>
        </w:rPr>
        <w:t xml:space="preserve"> در بازار طلا فعال است. مدیر عامل </w:t>
      </w:r>
      <w:r w:rsidR="00DC68E9">
        <w:rPr>
          <w:rFonts w:ascii="Times New Roman" w:hAnsi="Times New Roman" w:cs="B Zar" w:hint="cs"/>
          <w:sz w:val="28"/>
          <w:szCs w:val="28"/>
          <w:rtl/>
          <w:lang w:bidi="fa-IR"/>
        </w:rPr>
        <w:t>شرکت</w:t>
      </w:r>
      <w:r>
        <w:rPr>
          <w:rFonts w:ascii="Times New Roman" w:hAnsi="Times New Roman" w:cs="B Zar" w:hint="cs"/>
          <w:sz w:val="28"/>
          <w:szCs w:val="28"/>
          <w:rtl/>
          <w:lang w:bidi="fa-IR"/>
        </w:rPr>
        <w:t xml:space="preserve"> در نظر دارد با شرکت پارس آلتون پیمان آتی (</w:t>
      </w:r>
      <w:r>
        <w:rPr>
          <w:rFonts w:ascii="Times New Roman" w:hAnsi="Times New Roman" w:cs="B Zar"/>
          <w:sz w:val="28"/>
          <w:szCs w:val="28"/>
          <w:lang w:bidi="fa-IR"/>
        </w:rPr>
        <w:t>forward contract</w:t>
      </w:r>
      <w:r>
        <w:rPr>
          <w:rFonts w:ascii="Times New Roman" w:hAnsi="Times New Roman" w:cs="B Zar" w:hint="cs"/>
          <w:sz w:val="28"/>
          <w:szCs w:val="28"/>
          <w:rtl/>
          <w:lang w:bidi="fa-IR"/>
        </w:rPr>
        <w:t xml:space="preserve">) منعقد کند. طی این پیمان </w:t>
      </w:r>
      <w:r w:rsidR="00DC68E9">
        <w:rPr>
          <w:rFonts w:ascii="Times New Roman" w:hAnsi="Times New Roman" w:cs="B Zar"/>
          <w:sz w:val="28"/>
          <w:szCs w:val="28"/>
          <w:lang w:bidi="fa-IR"/>
        </w:rPr>
        <w:t>ABC</w:t>
      </w:r>
      <w:r>
        <w:rPr>
          <w:rFonts w:ascii="Times New Roman" w:hAnsi="Times New Roman" w:cs="B Zar" w:hint="cs"/>
          <w:sz w:val="28"/>
          <w:szCs w:val="28"/>
          <w:rtl/>
          <w:lang w:bidi="fa-IR"/>
        </w:rPr>
        <w:t xml:space="preserve"> 15 کیلوگرم طلا</w:t>
      </w:r>
      <w:r w:rsidR="00AE4A74">
        <w:rPr>
          <w:rFonts w:ascii="Times New Roman" w:hAnsi="Times New Roman" w:cs="B Zar" w:hint="cs"/>
          <w:sz w:val="28"/>
          <w:szCs w:val="28"/>
          <w:rtl/>
          <w:lang w:bidi="fa-IR"/>
        </w:rPr>
        <w:t xml:space="preserve"> با </w:t>
      </w:r>
      <w:r>
        <w:rPr>
          <w:rFonts w:ascii="Times New Roman" w:hAnsi="Times New Roman" w:cs="B Zar" w:hint="cs"/>
          <w:sz w:val="28"/>
          <w:szCs w:val="28"/>
          <w:rtl/>
          <w:lang w:bidi="fa-IR"/>
        </w:rPr>
        <w:t xml:space="preserve">عیار 999.9 برای تحویل در 12 ماه آینده خریداری خواهد کرد. برای پوشش ریسک این معامله، </w:t>
      </w:r>
      <w:r w:rsidR="00DC68E9">
        <w:rPr>
          <w:rFonts w:ascii="Times New Roman" w:hAnsi="Times New Roman" w:cs="B Zar"/>
          <w:sz w:val="28"/>
          <w:szCs w:val="28"/>
          <w:lang w:bidi="fa-IR"/>
        </w:rPr>
        <w:t>ABC</w:t>
      </w:r>
      <w:r>
        <w:rPr>
          <w:rFonts w:ascii="Times New Roman" w:hAnsi="Times New Roman" w:cs="B Zar" w:hint="cs"/>
          <w:sz w:val="28"/>
          <w:szCs w:val="28"/>
          <w:rtl/>
          <w:lang w:bidi="fa-IR"/>
        </w:rPr>
        <w:t xml:space="preserve"> معادل 15 کیلوگرم</w:t>
      </w:r>
      <w:r w:rsidR="00DC68E9">
        <w:rPr>
          <w:rFonts w:ascii="Times New Roman" w:hAnsi="Times New Roman" w:cs="B Zar" w:hint="cs"/>
          <w:sz w:val="28"/>
          <w:szCs w:val="28"/>
          <w:rtl/>
          <w:lang w:bidi="fa-IR"/>
        </w:rPr>
        <w:t xml:space="preserve"> قرارداد آتی (</w:t>
      </w:r>
      <w:r w:rsidR="00DC68E9">
        <w:rPr>
          <w:rFonts w:ascii="Times New Roman" w:hAnsi="Times New Roman" w:cs="B Zar"/>
          <w:sz w:val="28"/>
          <w:szCs w:val="28"/>
          <w:lang w:bidi="fa-IR"/>
        </w:rPr>
        <w:t>future contract</w:t>
      </w:r>
      <w:r w:rsidR="00DC68E9">
        <w:rPr>
          <w:rFonts w:ascii="Times New Roman" w:hAnsi="Times New Roman" w:cs="B Zar" w:hint="cs"/>
          <w:sz w:val="28"/>
          <w:szCs w:val="28"/>
          <w:rtl/>
          <w:lang w:bidi="fa-IR"/>
        </w:rPr>
        <w:t xml:space="preserve">) </w:t>
      </w:r>
      <w:r w:rsidR="00230992">
        <w:rPr>
          <w:rFonts w:ascii="Times New Roman" w:hAnsi="Times New Roman" w:cs="B Zar" w:hint="cs"/>
          <w:sz w:val="28"/>
          <w:szCs w:val="28"/>
          <w:rtl/>
          <w:lang w:bidi="fa-IR"/>
        </w:rPr>
        <w:t>6</w:t>
      </w:r>
      <w:r w:rsidR="00DC68E9">
        <w:rPr>
          <w:rFonts w:ascii="Times New Roman" w:hAnsi="Times New Roman" w:cs="B Zar" w:hint="cs"/>
          <w:sz w:val="28"/>
          <w:szCs w:val="28"/>
          <w:rtl/>
          <w:lang w:bidi="fa-IR"/>
        </w:rPr>
        <w:t xml:space="preserve"> ماهه‌ی </w:t>
      </w:r>
      <w:r>
        <w:rPr>
          <w:rFonts w:ascii="Times New Roman" w:hAnsi="Times New Roman" w:cs="B Zar" w:hint="cs"/>
          <w:sz w:val="28"/>
          <w:szCs w:val="28"/>
          <w:rtl/>
          <w:lang w:bidi="fa-IR"/>
        </w:rPr>
        <w:t xml:space="preserve"> طلای 999.9 </w:t>
      </w:r>
      <w:r w:rsidR="00DC68E9">
        <w:rPr>
          <w:rFonts w:ascii="Times New Roman" w:hAnsi="Times New Roman" w:cs="B Zar" w:hint="cs"/>
          <w:sz w:val="28"/>
          <w:szCs w:val="28"/>
          <w:rtl/>
          <w:lang w:bidi="fa-IR"/>
        </w:rPr>
        <w:t xml:space="preserve"> در بورس کالای شیکاگو</w:t>
      </w:r>
      <w:r>
        <w:rPr>
          <w:rFonts w:ascii="Times New Roman" w:hAnsi="Times New Roman" w:cs="B Zar" w:hint="cs"/>
          <w:sz w:val="28"/>
          <w:szCs w:val="28"/>
          <w:rtl/>
          <w:lang w:bidi="fa-IR"/>
        </w:rPr>
        <w:t xml:space="preserve"> خواهد فروخت</w:t>
      </w:r>
      <w:r w:rsidR="00230992">
        <w:rPr>
          <w:rFonts w:ascii="Times New Roman" w:hAnsi="Times New Roman" w:cs="B Zar" w:hint="cs"/>
          <w:sz w:val="28"/>
          <w:szCs w:val="28"/>
          <w:rtl/>
          <w:lang w:bidi="fa-IR"/>
        </w:rPr>
        <w:t>، و پس از پایان 6 ماهه‌ی اول</w:t>
      </w:r>
      <w:r w:rsidR="00AE4A74">
        <w:rPr>
          <w:rFonts w:ascii="Times New Roman" w:hAnsi="Times New Roman" w:cs="B Zar" w:hint="cs"/>
          <w:sz w:val="28"/>
          <w:szCs w:val="28"/>
          <w:rtl/>
          <w:lang w:bidi="fa-IR"/>
        </w:rPr>
        <w:t>،</w:t>
      </w:r>
      <w:r w:rsidR="00230992">
        <w:rPr>
          <w:rFonts w:ascii="Times New Roman" w:hAnsi="Times New Roman" w:cs="B Zar" w:hint="cs"/>
          <w:sz w:val="28"/>
          <w:szCs w:val="28"/>
          <w:rtl/>
          <w:lang w:bidi="fa-IR"/>
        </w:rPr>
        <w:t xml:space="preserve"> قرار داد آتی</w:t>
      </w:r>
      <w:r w:rsidR="00AE4A74">
        <w:rPr>
          <w:rFonts w:ascii="Times New Roman" w:hAnsi="Times New Roman" w:cs="B Zar" w:hint="cs"/>
          <w:sz w:val="28"/>
          <w:szCs w:val="28"/>
          <w:rtl/>
          <w:lang w:bidi="fa-IR"/>
        </w:rPr>
        <w:t xml:space="preserve"> یادشده</w:t>
      </w:r>
      <w:r w:rsidR="00230992">
        <w:rPr>
          <w:rFonts w:ascii="Times New Roman" w:hAnsi="Times New Roman" w:cs="B Zar" w:hint="cs"/>
          <w:sz w:val="28"/>
          <w:szCs w:val="28"/>
          <w:rtl/>
          <w:lang w:bidi="fa-IR"/>
        </w:rPr>
        <w:t xml:space="preserve"> را برای 6 ماهه‌ی دوم خواهد فروخت.</w:t>
      </w:r>
      <w:r>
        <w:rPr>
          <w:rFonts w:ascii="Times New Roman" w:hAnsi="Times New Roman" w:cs="B Zar" w:hint="cs"/>
          <w:sz w:val="28"/>
          <w:szCs w:val="28"/>
          <w:rtl/>
          <w:lang w:bidi="fa-IR"/>
        </w:rPr>
        <w:t xml:space="preserve"> مدیر عامل </w:t>
      </w:r>
      <w:r w:rsidR="00DC68E9">
        <w:rPr>
          <w:rFonts w:ascii="Times New Roman" w:hAnsi="Times New Roman" w:cs="B Zar"/>
          <w:sz w:val="28"/>
          <w:szCs w:val="28"/>
          <w:lang w:bidi="fa-IR"/>
        </w:rPr>
        <w:t>ABC</w:t>
      </w:r>
      <w:r>
        <w:rPr>
          <w:rFonts w:ascii="Times New Roman" w:hAnsi="Times New Roman" w:cs="B Zar" w:hint="cs"/>
          <w:sz w:val="28"/>
          <w:szCs w:val="28"/>
          <w:rtl/>
          <w:lang w:bidi="fa-IR"/>
        </w:rPr>
        <w:t xml:space="preserve"> </w:t>
      </w:r>
      <w:r w:rsidR="00AE4A74">
        <w:rPr>
          <w:rFonts w:ascii="Times New Roman" w:hAnsi="Times New Roman" w:cs="B Zar" w:hint="cs"/>
          <w:sz w:val="28"/>
          <w:szCs w:val="28"/>
          <w:rtl/>
          <w:lang w:bidi="fa-IR"/>
        </w:rPr>
        <w:t>قصد دارد</w:t>
      </w:r>
      <w:r>
        <w:rPr>
          <w:rFonts w:ascii="Times New Roman" w:hAnsi="Times New Roman" w:cs="B Zar" w:hint="cs"/>
          <w:sz w:val="28"/>
          <w:szCs w:val="28"/>
          <w:rtl/>
          <w:lang w:bidi="fa-IR"/>
        </w:rPr>
        <w:t xml:space="preserve"> طی جلسه‌ی هیأت مدیره</w:t>
      </w:r>
      <w:r w:rsidR="00DC68E9">
        <w:rPr>
          <w:rFonts w:ascii="Times New Roman" w:hAnsi="Times New Roman" w:cs="B Zar" w:hint="cs"/>
          <w:sz w:val="28"/>
          <w:szCs w:val="28"/>
          <w:rtl/>
          <w:lang w:bidi="fa-IR"/>
        </w:rPr>
        <w:t>،</w:t>
      </w:r>
      <w:r>
        <w:rPr>
          <w:rFonts w:ascii="Times New Roman" w:hAnsi="Times New Roman" w:cs="B Zar" w:hint="cs"/>
          <w:sz w:val="28"/>
          <w:szCs w:val="28"/>
          <w:rtl/>
          <w:lang w:bidi="fa-IR"/>
        </w:rPr>
        <w:t xml:space="preserve"> ری</w:t>
      </w:r>
      <w:r w:rsidR="00DC68E9">
        <w:rPr>
          <w:rFonts w:ascii="Times New Roman" w:hAnsi="Times New Roman" w:cs="B Zar" w:hint="cs"/>
          <w:sz w:val="28"/>
          <w:szCs w:val="28"/>
          <w:rtl/>
          <w:lang w:bidi="fa-IR"/>
        </w:rPr>
        <w:t xml:space="preserve">سک‌های این معامله را تشریح کند. به نظر شما اولاً چه ریسک‌هایی برای این معامله وجود دارد، و ثانیاً مدیرعامل </w:t>
      </w:r>
      <w:r w:rsidR="00DC68E9">
        <w:rPr>
          <w:rFonts w:ascii="Times New Roman" w:hAnsi="Times New Roman" w:cs="B Zar"/>
          <w:sz w:val="28"/>
          <w:szCs w:val="28"/>
          <w:lang w:bidi="fa-IR"/>
        </w:rPr>
        <w:t>ABC</w:t>
      </w:r>
      <w:r w:rsidR="00DC68E9">
        <w:rPr>
          <w:rFonts w:ascii="Times New Roman" w:hAnsi="Times New Roman" w:cs="B Zar" w:hint="cs"/>
          <w:sz w:val="28"/>
          <w:szCs w:val="28"/>
          <w:rtl/>
          <w:lang w:bidi="fa-IR"/>
        </w:rPr>
        <w:t xml:space="preserve"> چگونه می‌تواند هیأت مدیره برای انجام این معامله متقاعد نماید.</w:t>
      </w:r>
    </w:p>
    <w:p w:rsidR="00AE4A74" w:rsidRPr="00AE4A74" w:rsidRDefault="00304EEF" w:rsidP="00304EEF">
      <w:pPr>
        <w:pStyle w:val="ListParagraph"/>
        <w:numPr>
          <w:ilvl w:val="0"/>
          <w:numId w:val="1"/>
        </w:numPr>
        <w:bidi/>
        <w:spacing w:after="0" w:line="240" w:lineRule="auto"/>
        <w:jc w:val="both"/>
        <w:rPr>
          <w:rFonts w:ascii="Times New Roman" w:eastAsia="Times New Roman" w:hAnsi="Times New Roman" w:cs="Times New Roman"/>
          <w:color w:val="000000"/>
          <w:sz w:val="29"/>
          <w:szCs w:val="29"/>
        </w:rPr>
      </w:pPr>
      <w:r>
        <w:rPr>
          <w:rFonts w:ascii="Times New Roman" w:eastAsia="Times New Roman" w:hAnsi="Times New Roman" w:cs="B Nazanin" w:hint="cs"/>
          <w:color w:val="000000"/>
          <w:sz w:val="29"/>
          <w:szCs w:val="29"/>
          <w:rtl/>
          <w:lang w:bidi="fa-IR"/>
        </w:rPr>
        <w:t xml:space="preserve">توضیح دهید به چه دلایلی سود حسابداری مستقیماً منعکس‌کننده‌ی ارزش خلق ‌شده نیست. هم‌چنین توضیح دهید چگونه متخصصان مالی کاستی‌های سود حسابداری را جهت ارزشیابی شرکت‌ها  مرتفع می‌کنند. </w:t>
      </w:r>
    </w:p>
    <w:p w:rsidR="00BB5225" w:rsidRDefault="00304EEF" w:rsidP="00BB5225">
      <w:pPr>
        <w:pStyle w:val="ListParagraph"/>
        <w:numPr>
          <w:ilvl w:val="0"/>
          <w:numId w:val="1"/>
        </w:numPr>
        <w:bidi/>
        <w:spacing w:after="240" w:line="240" w:lineRule="auto"/>
        <w:jc w:val="lowKashida"/>
        <w:rPr>
          <w:rFonts w:ascii="Times New Roman" w:hAnsi="Times New Roman" w:cs="B Zar"/>
          <w:sz w:val="28"/>
          <w:szCs w:val="28"/>
          <w:lang w:bidi="fa-IR"/>
        </w:rPr>
      </w:pPr>
      <w:r>
        <w:rPr>
          <w:rFonts w:ascii="Times New Roman" w:hAnsi="Times New Roman" w:cs="B Zar" w:hint="cs"/>
          <w:sz w:val="28"/>
          <w:szCs w:val="28"/>
          <w:rtl/>
          <w:lang w:bidi="fa-IR"/>
        </w:rPr>
        <w:t xml:space="preserve">واسطه‌گری مالی شرکت‌های بیمه و صندوق‌های بازنشستگی </w:t>
      </w:r>
      <w:r w:rsidR="00BB5225">
        <w:rPr>
          <w:rFonts w:ascii="Times New Roman" w:hAnsi="Times New Roman" w:cs="B Zar" w:hint="cs"/>
          <w:sz w:val="28"/>
          <w:szCs w:val="28"/>
          <w:rtl/>
          <w:lang w:bidi="fa-IR"/>
        </w:rPr>
        <w:t>را با وسطه‌گری مالی بانک‌های تجاری مقایسه کنید. طی این مقایسه توضیح دهید چگونه واسطه‌های مالی یادشده تأمین مالی می‌کنند و چگونه منابع تأمین شده را جهت تولید دارایی‌ها و ابزار مالی صرف می‌کنند.</w:t>
      </w:r>
    </w:p>
    <w:p w:rsidR="00DC68E9" w:rsidRDefault="00304EEF" w:rsidP="00CC72AF">
      <w:pPr>
        <w:pStyle w:val="ListParagraph"/>
        <w:numPr>
          <w:ilvl w:val="0"/>
          <w:numId w:val="1"/>
        </w:numPr>
        <w:bidi/>
        <w:spacing w:after="240" w:line="240" w:lineRule="auto"/>
        <w:jc w:val="lowKashida"/>
        <w:rPr>
          <w:rFonts w:ascii="Times New Roman" w:hAnsi="Times New Roman" w:cs="B Zar"/>
          <w:sz w:val="28"/>
          <w:szCs w:val="28"/>
          <w:lang w:bidi="fa-IR"/>
        </w:rPr>
      </w:pPr>
      <w:r>
        <w:rPr>
          <w:rFonts w:ascii="Times New Roman" w:hAnsi="Times New Roman" w:cs="B Zar" w:hint="cs"/>
          <w:sz w:val="28"/>
          <w:szCs w:val="28"/>
          <w:rtl/>
          <w:lang w:bidi="fa-IR"/>
        </w:rPr>
        <w:t xml:space="preserve"> </w:t>
      </w:r>
      <w:r w:rsidR="00CC7077">
        <w:rPr>
          <w:rFonts w:ascii="Times New Roman" w:hAnsi="Times New Roman" w:cs="B Zar" w:hint="cs"/>
          <w:sz w:val="28"/>
          <w:szCs w:val="28"/>
          <w:rtl/>
          <w:lang w:bidi="fa-IR"/>
        </w:rPr>
        <w:t>در حال حاضر شرکت‌های لیزینگ در ایران مسائل عمده‌</w:t>
      </w:r>
      <w:r w:rsidR="00652354">
        <w:rPr>
          <w:rFonts w:ascii="Times New Roman" w:hAnsi="Times New Roman" w:cs="B Zar" w:hint="cs"/>
          <w:sz w:val="28"/>
          <w:szCs w:val="28"/>
          <w:rtl/>
          <w:lang w:bidi="fa-IR"/>
        </w:rPr>
        <w:t xml:space="preserve">‌ای در تأمین </w:t>
      </w:r>
      <w:r w:rsidR="009F660E">
        <w:rPr>
          <w:rFonts w:ascii="Times New Roman" w:hAnsi="Times New Roman" w:cs="B Zar" w:hint="cs"/>
          <w:sz w:val="28"/>
          <w:szCs w:val="28"/>
          <w:rtl/>
          <w:lang w:bidi="fa-IR"/>
        </w:rPr>
        <w:t>مالی دارند. روش‌های سنتی تأمین مالی (تأمین مالی از طریق انتشار سهام و اوراق مشارکت) چندان برای این شرکت‌ها راهگشا نیست. اغلب این شرکت‌ها از طریق وام بانکی تأمین مالی می‌کنند.</w:t>
      </w:r>
      <w:r w:rsidR="005D310F">
        <w:rPr>
          <w:rFonts w:ascii="Times New Roman" w:hAnsi="Times New Roman" w:cs="B Zar" w:hint="cs"/>
          <w:sz w:val="28"/>
          <w:szCs w:val="28"/>
          <w:rtl/>
          <w:lang w:bidi="fa-IR"/>
        </w:rPr>
        <w:t xml:space="preserve"> در حال حاضر بانک‌ها نیز برای اعطای وام به شرکت‌های لیزینگ در مضیغه‌اند.</w:t>
      </w:r>
      <w:r w:rsidR="009F660E">
        <w:rPr>
          <w:rFonts w:ascii="Times New Roman" w:hAnsi="Times New Roman" w:cs="B Zar" w:hint="cs"/>
          <w:sz w:val="28"/>
          <w:szCs w:val="28"/>
          <w:rtl/>
          <w:lang w:bidi="fa-IR"/>
        </w:rPr>
        <w:t xml:space="preserve"> ترازنامه‌ی این شرکت‌ها </w:t>
      </w:r>
      <w:r w:rsidR="005D310F">
        <w:rPr>
          <w:rFonts w:ascii="Times New Roman" w:hAnsi="Times New Roman" w:cs="B Zar" w:hint="cs"/>
          <w:sz w:val="28"/>
          <w:szCs w:val="28"/>
          <w:rtl/>
          <w:lang w:bidi="fa-IR"/>
        </w:rPr>
        <w:t>عموماً شامل اتومبیل و تجهیزات است. این شرکت‌ها</w:t>
      </w:r>
      <w:r w:rsidR="00CC72AF">
        <w:rPr>
          <w:rFonts w:ascii="Times New Roman" w:hAnsi="Times New Roman" w:cs="B Zar" w:hint="cs"/>
          <w:sz w:val="28"/>
          <w:szCs w:val="28"/>
          <w:rtl/>
          <w:lang w:bidi="fa-IR"/>
        </w:rPr>
        <w:t>،</w:t>
      </w:r>
      <w:r w:rsidR="005D310F">
        <w:rPr>
          <w:rFonts w:ascii="Times New Roman" w:hAnsi="Times New Roman" w:cs="B Zar" w:hint="cs"/>
          <w:sz w:val="28"/>
          <w:szCs w:val="28"/>
          <w:rtl/>
          <w:lang w:bidi="fa-IR"/>
        </w:rPr>
        <w:t xml:space="preserve"> اتومبیل و تجهیزات موردنیاز مشتریان خود را خریداری می‌کنند و ضمن قرارداد لیزینگ به مشتریان خود واگذار می‌کنند. به‌عنوان متخصص مالی با استفاده از مفهوم تأمین مالی ساختاریافته چه روش یا روش‌هایی را برای تأمین مالی این شرکت‌ها پیشنهاد می‌کنید.</w:t>
      </w:r>
      <w:r w:rsidR="00E10764">
        <w:rPr>
          <w:rFonts w:ascii="Times New Roman" w:hAnsi="Times New Roman" w:cs="B Zar" w:hint="cs"/>
          <w:sz w:val="28"/>
          <w:szCs w:val="28"/>
          <w:rtl/>
          <w:lang w:bidi="fa-IR"/>
        </w:rPr>
        <w:t xml:space="preserve"> </w:t>
      </w:r>
    </w:p>
    <w:p w:rsidR="004B2F1A" w:rsidRPr="004B2F1A" w:rsidRDefault="004B2F1A" w:rsidP="004B2F1A">
      <w:pPr>
        <w:bidi/>
        <w:spacing w:after="240" w:line="240" w:lineRule="auto"/>
        <w:jc w:val="lowKashida"/>
        <w:rPr>
          <w:rFonts w:ascii="Times New Roman" w:hAnsi="Times New Roman" w:cs="B Zar"/>
          <w:sz w:val="28"/>
          <w:szCs w:val="28"/>
          <w:lang w:bidi="fa-IR"/>
        </w:rPr>
      </w:pPr>
    </w:p>
    <w:p w:rsidR="00DC68E9" w:rsidRDefault="00DC68E9" w:rsidP="00DC68E9">
      <w:pPr>
        <w:bidi/>
        <w:spacing w:after="240" w:line="240" w:lineRule="auto"/>
        <w:jc w:val="lowKashida"/>
        <w:rPr>
          <w:rFonts w:ascii="Times New Roman" w:hAnsi="Times New Roman" w:cs="B Zar"/>
          <w:sz w:val="28"/>
          <w:szCs w:val="28"/>
          <w:rtl/>
          <w:lang w:bidi="fa-IR"/>
        </w:rPr>
      </w:pPr>
    </w:p>
    <w:p w:rsidR="00711AE3" w:rsidRPr="00711AE3" w:rsidRDefault="004B2F1A" w:rsidP="00711AE3">
      <w:pPr>
        <w:pStyle w:val="ListParagraph"/>
        <w:numPr>
          <w:ilvl w:val="0"/>
          <w:numId w:val="1"/>
        </w:numPr>
        <w:bidi/>
        <w:spacing w:after="240" w:line="240" w:lineRule="auto"/>
        <w:jc w:val="lowKashida"/>
        <w:rPr>
          <w:rFonts w:ascii="Times New Roman" w:hAnsi="Times New Roman" w:cs="B Zar"/>
          <w:sz w:val="28"/>
          <w:szCs w:val="28"/>
          <w:rtl/>
          <w:lang w:bidi="fa-IR"/>
        </w:rPr>
      </w:pPr>
      <w:r>
        <w:rPr>
          <w:rFonts w:ascii="Times New Roman" w:hAnsi="Times New Roman" w:cs="B Nazanin" w:hint="cs"/>
          <w:noProof/>
          <w:sz w:val="24"/>
          <w:szCs w:val="24"/>
          <w:rtl/>
        </w:rPr>
        <w:lastRenderedPageBreak/>
        <mc:AlternateContent>
          <mc:Choice Requires="wps">
            <w:drawing>
              <wp:anchor distT="0" distB="0" distL="114300" distR="114300" simplePos="0" relativeHeight="251661312" behindDoc="0" locked="0" layoutInCell="1" allowOverlap="1" wp14:anchorId="300EA517" wp14:editId="3CE0272B">
                <wp:simplePos x="0" y="0"/>
                <wp:positionH relativeFrom="column">
                  <wp:posOffset>-21590</wp:posOffset>
                </wp:positionH>
                <wp:positionV relativeFrom="paragraph">
                  <wp:posOffset>-118110</wp:posOffset>
                </wp:positionV>
                <wp:extent cx="5753735" cy="7185660"/>
                <wp:effectExtent l="0" t="0" r="18415" b="15240"/>
                <wp:wrapNone/>
                <wp:docPr id="2" name="Rectangle 2"/>
                <wp:cNvGraphicFramePr/>
                <a:graphic xmlns:a="http://schemas.openxmlformats.org/drawingml/2006/main">
                  <a:graphicData uri="http://schemas.microsoft.com/office/word/2010/wordprocessingShape">
                    <wps:wsp>
                      <wps:cNvSpPr/>
                      <wps:spPr>
                        <a:xfrm>
                          <a:off x="0" y="0"/>
                          <a:ext cx="5753735" cy="7185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7pt;margin-top:-9.3pt;width:453.05pt;height:56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" filled="f" strokecolor="black [3213]" strokeweight="2pt"/>
            </w:pict>
          </mc:Fallback>
        </mc:AlternateContent>
      </w:r>
      <w:r w:rsidR="001F738F">
        <w:rPr>
          <w:rFonts w:ascii="Times New Roman" w:hAnsi="Times New Roman" w:cs="B Zar" w:hint="cs"/>
          <w:sz w:val="28"/>
          <w:szCs w:val="28"/>
          <w:rtl/>
          <w:lang w:bidi="fa-IR"/>
        </w:rPr>
        <w:t>انواع ابزار مالی مبتنی بر املاک و مستغلات را از نظر این‌که در بازار اختصاصی یا عمومی معامله می‌شوند، و نیز از این نظر که آیا مبتنی بر حق مالی (</w:t>
      </w:r>
      <w:r w:rsidR="001F738F">
        <w:rPr>
          <w:rFonts w:ascii="Times New Roman" w:hAnsi="Times New Roman" w:cs="B Zar"/>
          <w:sz w:val="28"/>
          <w:szCs w:val="28"/>
          <w:lang w:bidi="fa-IR"/>
        </w:rPr>
        <w:t>equity</w:t>
      </w:r>
      <w:r w:rsidR="001F738F">
        <w:rPr>
          <w:rFonts w:ascii="Times New Roman" w:hAnsi="Times New Roman" w:cs="B Zar" w:hint="cs"/>
          <w:sz w:val="28"/>
          <w:szCs w:val="28"/>
          <w:rtl/>
          <w:lang w:bidi="fa-IR"/>
        </w:rPr>
        <w:t>) یا بدهی (</w:t>
      </w:r>
      <w:r w:rsidR="001F738F">
        <w:rPr>
          <w:rFonts w:ascii="Times New Roman" w:hAnsi="Times New Roman" w:cs="B Zar"/>
          <w:sz w:val="28"/>
          <w:szCs w:val="28"/>
          <w:lang w:bidi="fa-IR"/>
        </w:rPr>
        <w:t>debt</w:t>
      </w:r>
      <w:r w:rsidR="001F738F">
        <w:rPr>
          <w:rFonts w:ascii="Times New Roman" w:hAnsi="Times New Roman" w:cs="B Zar" w:hint="cs"/>
          <w:sz w:val="28"/>
          <w:szCs w:val="28"/>
          <w:rtl/>
          <w:lang w:bidi="fa-IR"/>
        </w:rPr>
        <w:t>) می‌باشند، نام برده و توضیح دهید.</w:t>
      </w: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Pr="00711AE3" w:rsidRDefault="00711AE3" w:rsidP="00711AE3">
      <w:pPr>
        <w:rPr>
          <w:rtl/>
          <w:lang w:bidi="fa-IR"/>
        </w:rPr>
      </w:pPr>
    </w:p>
    <w:p w:rsidR="00711AE3" w:rsidRDefault="00711AE3" w:rsidP="00711AE3">
      <w:pPr>
        <w:rPr>
          <w:rtl/>
          <w:lang w:bidi="fa-IR"/>
        </w:rPr>
      </w:pPr>
    </w:p>
    <w:p w:rsidR="00711AE3" w:rsidRDefault="00711AE3">
      <w:pPr>
        <w:rPr>
          <w:lang w:bidi="fa-IR"/>
        </w:rPr>
      </w:pPr>
      <w:r>
        <w:rPr>
          <w:lang w:bidi="fa-IR"/>
        </w:rPr>
        <w:br w:type="page"/>
      </w:r>
    </w:p>
    <w:p w:rsidR="002E123F" w:rsidRDefault="002E123F" w:rsidP="00711AE3">
      <w:pPr>
        <w:jc w:val="center"/>
        <w:rPr>
          <w:rtl/>
          <w:lang w:bidi="fa-IR"/>
        </w:rPr>
      </w:pPr>
    </w:p>
    <w:p w:rsidR="00936E05" w:rsidRPr="00936E05" w:rsidRDefault="00711AE3" w:rsidP="00936E05">
      <w:pPr>
        <w:pStyle w:val="ListParagraph"/>
        <w:numPr>
          <w:ilvl w:val="0"/>
          <w:numId w:val="5"/>
        </w:numPr>
        <w:bidi/>
        <w:spacing w:after="240" w:line="240" w:lineRule="auto"/>
        <w:jc w:val="lowKashida"/>
        <w:rPr>
          <w:rFonts w:ascii="Times New Roman" w:hAnsi="Times New Roman" w:cs="B Zar"/>
          <w:sz w:val="28"/>
          <w:szCs w:val="28"/>
          <w:lang w:bidi="fa-IR"/>
        </w:rPr>
      </w:pPr>
      <w:r w:rsidRPr="002E123F">
        <w:rPr>
          <w:rFonts w:ascii="Times New Roman" w:hAnsi="Times New Roman" w:cs="B Zar" w:hint="cs"/>
          <w:sz w:val="28"/>
          <w:szCs w:val="28"/>
          <w:rtl/>
          <w:lang w:bidi="fa-IR"/>
        </w:rPr>
        <w:t>مهم‌ترین ریسک این معامله ریسک نقدینگی است. اگر قیمت طلا بالا رود</w:t>
      </w:r>
      <w:r w:rsidR="00DA2E78">
        <w:rPr>
          <w:rFonts w:ascii="Times New Roman" w:hAnsi="Times New Roman" w:cs="B Zar" w:hint="cs"/>
          <w:sz w:val="28"/>
          <w:szCs w:val="28"/>
          <w:rtl/>
          <w:lang w:bidi="fa-IR"/>
        </w:rPr>
        <w:t>،</w:t>
      </w:r>
      <w:r w:rsidRPr="002E123F">
        <w:rPr>
          <w:rFonts w:ascii="Times New Roman" w:hAnsi="Times New Roman" w:cs="B Zar" w:hint="cs"/>
          <w:sz w:val="28"/>
          <w:szCs w:val="28"/>
          <w:rtl/>
          <w:lang w:bidi="fa-IR"/>
        </w:rPr>
        <w:t xml:space="preserve"> موقعیت‌ نقدی طلای شرکت ارزشمند می‌شود و این در حالی است که موق</w:t>
      </w:r>
      <w:r w:rsidR="00936E05">
        <w:rPr>
          <w:rFonts w:ascii="Times New Roman" w:hAnsi="Times New Roman" w:cs="B Zar" w:hint="cs"/>
          <w:sz w:val="28"/>
          <w:szCs w:val="28"/>
          <w:rtl/>
          <w:lang w:bidi="fa-IR"/>
        </w:rPr>
        <w:t>عیت‌های آتی با زیان مواجه می‌شو</w:t>
      </w:r>
      <w:r w:rsidRPr="002E123F">
        <w:rPr>
          <w:rFonts w:ascii="Times New Roman" w:hAnsi="Times New Roman" w:cs="B Zar" w:hint="cs"/>
          <w:sz w:val="28"/>
          <w:szCs w:val="28"/>
          <w:rtl/>
          <w:lang w:bidi="fa-IR"/>
        </w:rPr>
        <w:t xml:space="preserve">د. زیان موقعیت‌های آتی ممکن است به اندازه‌ای شود که آن موقعیت‌ها مشمول اخطار تأمین وجه‌الضمان شوند. در این‌صورت شرکت باید مبلغ لازم را به حساب بورس کارگزار آتی خود واریز کند، در غیر این‌صورت، کارگزار موقعیت‌های شرکت را می‌بندد. ممکن است این وضعیت زمانی اتفاق بیفتد که سبد آربیتراژ شرکت </w:t>
      </w:r>
      <w:r>
        <w:rPr>
          <w:rFonts w:ascii="Times New Roman" w:hAnsi="Times New Roman" w:cs="B Zar" w:hint="cs"/>
          <w:sz w:val="28"/>
          <w:szCs w:val="28"/>
          <w:rtl/>
          <w:lang w:bidi="fa-IR"/>
        </w:rPr>
        <w:t>در زیان باشد. بدین ترتیب در صورتی که شرکت نتوان</w:t>
      </w:r>
      <w:bookmarkStart w:id="0" w:name="_GoBack"/>
      <w:bookmarkEnd w:id="0"/>
      <w:r>
        <w:rPr>
          <w:rFonts w:ascii="Times New Roman" w:hAnsi="Times New Roman" w:cs="B Zar" w:hint="cs"/>
          <w:sz w:val="28"/>
          <w:szCs w:val="28"/>
          <w:rtl/>
          <w:lang w:bidi="fa-IR"/>
        </w:rPr>
        <w:t>د وجه لازم را تأمین کند، با زیان مواجه خواهد شد. مدیر عامل شرکت می‌تواند به هیأت مدیره اطمینان دهد که ذخیره‌ی نقدینگی لازم برای واریز به حساب کارگزار آتی کنار گذاشته شده است. مدیریت برای این‌که هیأت مدیره را برای انجام این معامله راغب کند می‌تواند توجه آن‌ها را به شکاف بین قیمت نقدی و آتی جلب کند. هم‌چنین مدیریت می‌تواند با ارائه‌ی پیش‌بینی‌های خود از روند آتی طلا، احتمال مواجهه با ریسک نقدینگی را برای هیأت‌مدیره تشریح نماید.</w:t>
      </w:r>
    </w:p>
    <w:p w:rsidR="00711AE3" w:rsidRPr="004E261F" w:rsidRDefault="00711AE3" w:rsidP="00936E05">
      <w:pPr>
        <w:pStyle w:val="ListParagraph"/>
        <w:numPr>
          <w:ilvl w:val="0"/>
          <w:numId w:val="5"/>
        </w:numPr>
        <w:bidi/>
        <w:spacing w:after="240" w:line="240" w:lineRule="auto"/>
        <w:jc w:val="lowKashida"/>
        <w:rPr>
          <w:lang w:bidi="fa-IR"/>
        </w:rPr>
      </w:pPr>
      <w:r w:rsidRPr="00A21EEF">
        <w:rPr>
          <w:rFonts w:ascii="Times New Roman" w:hAnsi="Times New Roman" w:cs="B Zar" w:hint="cs"/>
          <w:sz w:val="28"/>
          <w:szCs w:val="28"/>
          <w:rtl/>
          <w:lang w:bidi="fa-IR"/>
        </w:rPr>
        <w:t>اولاً اصول پذیرفته‌شده‌ی حسابداری غالباً مبتنی بر بهای تمام‌شده نه ارزش روز. بدیهی است که بهای تمام‌شده منعکس کننده‌ی ارزش خلق شده نمی‌باشد. ثانیاً حسابداری اساساً زمان ایجاد جریان‌های نقدی را در محاسبات سود لحاظ نمی‌کند، و این در حالی است که برای محاسبه‌ی ارزش واقعی خلق‌شده نیازمندیم زمان ایجاد جریان‌های نقدی را در محاسبات لحاظ کنیم. ثالثاً سود حسابداری، هزینه‌ی فرصت شرکت‌ها را لحاظ نمی‌کند، و بدین‌ترتیب ممکن است شرکت سود حسابداری مثبت گزارش نماید و این در حالی است که با لحاظ هزینه‌ی فرصت، متحمل زیان اقتصادی شده باشد. رابعاً برای محاسبه‌ی سود می‌توان روش‌های مختلفی را در محاسبه‌ی استهلاک، موجودی کالا، ذخیره‌ی بازخرید سنوات کارکنان، ذخیره‌ی مطالبات مشکوک‌الاوصول و ... استفاد</w:t>
      </w:r>
      <w:r w:rsidR="007A5746" w:rsidRPr="00A21EEF">
        <w:rPr>
          <w:rFonts w:ascii="Times New Roman" w:hAnsi="Times New Roman" w:cs="B Zar" w:hint="cs"/>
          <w:sz w:val="28"/>
          <w:szCs w:val="28"/>
          <w:rtl/>
          <w:lang w:bidi="fa-IR"/>
        </w:rPr>
        <w:t>ه کرد. بنابراین سود قابلیت دستکاری دارد. می‌توان بر اساس اصول پذیرفته‌شده‌ی حسابداری سود را نسبتاً بالا یا پایین گزارش کرد. متخصصان مالی برای رفع نقیصه‌های سود حسابداری عموماً جریان‌های نقدی آزاد را محاسبه می‌کنند. بدین‌ترتیب که جریان‌های نقدی آزا</w:t>
      </w:r>
      <w:r w:rsidR="00DA2E78">
        <w:rPr>
          <w:rFonts w:ascii="Times New Roman" w:hAnsi="Times New Roman" w:cs="B Zar" w:hint="cs"/>
          <w:sz w:val="28"/>
          <w:szCs w:val="28"/>
          <w:rtl/>
          <w:lang w:bidi="fa-IR"/>
        </w:rPr>
        <w:t>د شرکت در طول زمان برآورد می‌‌کنند</w:t>
      </w:r>
      <w:r w:rsidR="007A5746" w:rsidRPr="00A21EEF">
        <w:rPr>
          <w:rFonts w:ascii="Times New Roman" w:hAnsi="Times New Roman" w:cs="B Zar" w:hint="cs"/>
          <w:sz w:val="28"/>
          <w:szCs w:val="28"/>
          <w:rtl/>
          <w:lang w:bidi="fa-IR"/>
        </w:rPr>
        <w:t xml:space="preserve">، و با نرخ تنزیلی که برابر است با هزینه‌ی فرصت بنگاه است آن جریان‌های نقدی را تنزیل می‌کنند. </w:t>
      </w:r>
    </w:p>
    <w:p w:rsidR="004E261F" w:rsidRPr="000070D6" w:rsidRDefault="008D3395" w:rsidP="00DA2E78">
      <w:pPr>
        <w:pStyle w:val="ListParagraph"/>
        <w:numPr>
          <w:ilvl w:val="0"/>
          <w:numId w:val="5"/>
        </w:numPr>
        <w:bidi/>
        <w:spacing w:after="240" w:line="240" w:lineRule="auto"/>
        <w:jc w:val="lowKashida"/>
        <w:rPr>
          <w:lang w:bidi="fa-IR"/>
        </w:rPr>
      </w:pPr>
      <w:r>
        <w:rPr>
          <w:rFonts w:ascii="Times New Roman" w:hAnsi="Times New Roman" w:cs="B Zar" w:hint="cs"/>
          <w:sz w:val="28"/>
          <w:szCs w:val="28"/>
          <w:rtl/>
          <w:lang w:bidi="fa-IR"/>
        </w:rPr>
        <w:t xml:space="preserve">بانک‌های تجاری، شرکت‌های بیمه و صندوق‌های بازنشستگی هر سه از واسطه‌های مالی‌اند. </w:t>
      </w:r>
      <w:r w:rsidR="004E261F">
        <w:rPr>
          <w:rFonts w:ascii="Times New Roman" w:hAnsi="Times New Roman" w:cs="B Zar" w:hint="cs"/>
          <w:sz w:val="28"/>
          <w:szCs w:val="28"/>
          <w:rtl/>
          <w:lang w:bidi="fa-IR"/>
        </w:rPr>
        <w:t>بانک‌های تجاری از طریق</w:t>
      </w:r>
      <w:r>
        <w:rPr>
          <w:rFonts w:ascii="Times New Roman" w:hAnsi="Times New Roman" w:cs="B Zar" w:hint="cs"/>
          <w:sz w:val="28"/>
          <w:szCs w:val="28"/>
          <w:rtl/>
          <w:lang w:bidi="fa-IR"/>
        </w:rPr>
        <w:t xml:space="preserve"> جذب</w:t>
      </w:r>
      <w:r w:rsidR="004E261F">
        <w:rPr>
          <w:rFonts w:ascii="Times New Roman" w:hAnsi="Times New Roman" w:cs="B Zar" w:hint="cs"/>
          <w:sz w:val="28"/>
          <w:szCs w:val="28"/>
          <w:rtl/>
          <w:lang w:bidi="fa-IR"/>
        </w:rPr>
        <w:t xml:space="preserve"> سپرده تأمین مالی می‌کنند و </w:t>
      </w:r>
      <w:r>
        <w:rPr>
          <w:rFonts w:ascii="Times New Roman" w:hAnsi="Times New Roman" w:cs="B Zar" w:hint="cs"/>
          <w:sz w:val="28"/>
          <w:szCs w:val="28"/>
          <w:rtl/>
          <w:lang w:bidi="fa-IR"/>
        </w:rPr>
        <w:t>سپس وجوه تأمین مالی‌شده را در قالب وام به متقاضیان اعطا می‌کنند.</w:t>
      </w:r>
      <w:r w:rsidR="00031ABF">
        <w:rPr>
          <w:rFonts w:ascii="Times New Roman" w:hAnsi="Times New Roman" w:cs="B Zar" w:hint="cs"/>
          <w:sz w:val="28"/>
          <w:szCs w:val="28"/>
          <w:rtl/>
          <w:lang w:bidi="fa-IR"/>
        </w:rPr>
        <w:t xml:space="preserve"> شرکت‌های بیمه از طریق فروش حق‌بیمه‌ها تأمین مالی می‌کنند، و هم‌زمان در مقابل خریداران حق بیمه، تعهداتی را بر عهده می‌گیرند. این تعهدات در بیمه‌ی حوادث شامل جبران خسارت بیمه‌گزار و در بیمه‌ی عمر شامل پرداخت به خانواده‌ی بیمه‌گذار در صورت فوت وی می‌باشد. صندوق‌های بازنشستگی از محل پرداخت‌های شاغلات تأمین  مالی می‌شوند، و در </w:t>
      </w:r>
      <w:r w:rsidR="00031ABF">
        <w:rPr>
          <w:rFonts w:ascii="Times New Roman" w:hAnsi="Times New Roman" w:cs="B Zar" w:hint="cs"/>
          <w:sz w:val="28"/>
          <w:szCs w:val="28"/>
          <w:rtl/>
          <w:lang w:bidi="fa-IR"/>
        </w:rPr>
        <w:lastRenderedPageBreak/>
        <w:t>مقابل شاغلان تعهداتی را برای پرداخت وجوه در زمان بازنشستگی برعهده می‌گیرند. شرکت‌های بیمه و صندوق‌های بازنشستگی در واقع از محل فروش تعهدات خود به مشتریان تأمین مالی می‌کنند.</w:t>
      </w:r>
      <w:r w:rsidR="00936E05">
        <w:rPr>
          <w:rFonts w:ascii="Times New Roman" w:hAnsi="Times New Roman" w:cs="B Zar" w:hint="cs"/>
          <w:sz w:val="28"/>
          <w:szCs w:val="28"/>
          <w:rtl/>
          <w:lang w:bidi="fa-IR"/>
        </w:rPr>
        <w:t xml:space="preserve"> شرکت‌ها بیمه و صندوق‌های بازنشستگی نیز همانند بانک‌ها وجوه حاصل از حق بیمه‌ها و پرداخت‌های بازنشستگی را عمدتاً صرف خرید دارایی‌های مالی از قبیل سهام، اوراق قرضه، اوراق مشارکت و .... می‌کنند. </w:t>
      </w:r>
      <w:r w:rsidR="00936E05" w:rsidRPr="00936E05">
        <w:rPr>
          <w:rFonts w:ascii="Times New Roman" w:hAnsi="Times New Roman" w:cs="B Zar" w:hint="cs"/>
          <w:sz w:val="28"/>
          <w:szCs w:val="28"/>
          <w:rtl/>
          <w:lang w:bidi="fa-IR"/>
        </w:rPr>
        <w:t xml:space="preserve">بنابراین می‌توان </w:t>
      </w:r>
      <w:r w:rsidR="006A6F4E">
        <w:rPr>
          <w:rFonts w:ascii="Times New Roman" w:hAnsi="Times New Roman" w:cs="B Zar" w:hint="cs"/>
          <w:sz w:val="28"/>
          <w:szCs w:val="28"/>
          <w:rtl/>
          <w:lang w:bidi="fa-IR"/>
        </w:rPr>
        <w:t xml:space="preserve">هر سه </w:t>
      </w:r>
      <w:r w:rsidR="00936E05" w:rsidRPr="00936E05">
        <w:rPr>
          <w:rFonts w:ascii="Times New Roman" w:hAnsi="Times New Roman" w:cs="B Zar" w:hint="cs"/>
          <w:sz w:val="28"/>
          <w:szCs w:val="28"/>
          <w:rtl/>
          <w:lang w:bidi="fa-IR"/>
        </w:rPr>
        <w:t>این واسطه‌های مالی</w:t>
      </w:r>
      <w:r w:rsidR="00936E05">
        <w:rPr>
          <w:rFonts w:ascii="Times New Roman" w:hAnsi="Times New Roman" w:cs="B Zar" w:hint="cs"/>
          <w:sz w:val="28"/>
          <w:szCs w:val="28"/>
          <w:rtl/>
          <w:lang w:bidi="fa-IR"/>
        </w:rPr>
        <w:t xml:space="preserve"> </w:t>
      </w:r>
      <w:r w:rsidR="006A6F4E">
        <w:rPr>
          <w:rFonts w:ascii="Times New Roman" w:hAnsi="Times New Roman" w:cs="B Zar" w:hint="cs"/>
          <w:sz w:val="28"/>
          <w:szCs w:val="28"/>
          <w:rtl/>
          <w:lang w:bidi="fa-IR"/>
        </w:rPr>
        <w:t>تعهدات خود را به مشتریان می‌فروشند (این تعهدات درواقع دارایی مالی مشتریان است) و وجوه حاصل را</w:t>
      </w:r>
      <w:r w:rsidR="00936E05">
        <w:rPr>
          <w:rFonts w:ascii="Times New Roman" w:hAnsi="Times New Roman" w:cs="B Zar" w:hint="cs"/>
          <w:sz w:val="28"/>
          <w:szCs w:val="28"/>
          <w:rtl/>
          <w:lang w:bidi="fa-IR"/>
        </w:rPr>
        <w:t xml:space="preserve"> به نوعی دارایی </w:t>
      </w:r>
      <w:r w:rsidR="006A6F4E">
        <w:rPr>
          <w:rFonts w:ascii="Times New Roman" w:hAnsi="Times New Roman" w:cs="B Zar" w:hint="cs"/>
          <w:sz w:val="28"/>
          <w:szCs w:val="28"/>
          <w:rtl/>
          <w:lang w:bidi="fa-IR"/>
        </w:rPr>
        <w:t xml:space="preserve">مالی از جمله وام، اوراق بهادار و ... تبدیل می‌کنند. </w:t>
      </w:r>
      <w:r w:rsidR="0086007B">
        <w:rPr>
          <w:rFonts w:ascii="Times New Roman" w:hAnsi="Times New Roman" w:cs="B Zar" w:hint="cs"/>
          <w:sz w:val="28"/>
          <w:szCs w:val="28"/>
          <w:rtl/>
          <w:lang w:bidi="fa-IR"/>
        </w:rPr>
        <w:t xml:space="preserve">همان طور که شرکت‌های بیمه و صندوق‌های بازنشستگی تعهدات منحصر به فردی را از بابت وجوه مشتریان خود برعهده‌می‌گیرند، </w:t>
      </w:r>
      <w:r w:rsidR="00936E05" w:rsidRPr="00936E05">
        <w:rPr>
          <w:rFonts w:ascii="Times New Roman" w:hAnsi="Times New Roman" w:cs="B Zar" w:hint="cs"/>
          <w:sz w:val="28"/>
          <w:szCs w:val="28"/>
          <w:rtl/>
          <w:lang w:bidi="fa-IR"/>
        </w:rPr>
        <w:t xml:space="preserve">بانک‌ها </w:t>
      </w:r>
      <w:r w:rsidR="0086007B">
        <w:rPr>
          <w:rFonts w:ascii="Times New Roman" w:hAnsi="Times New Roman" w:cs="B Zar" w:hint="cs"/>
          <w:sz w:val="28"/>
          <w:szCs w:val="28"/>
          <w:rtl/>
          <w:lang w:bidi="fa-IR"/>
        </w:rPr>
        <w:t>نیز با قبول سپرده‌ها در اندازه ها، سررسیدها، نرخ‌ها و ... مختلف تعهدات منحصربه‌فردی را از بابت هر سپرده‌گذار ایجاد می‌کنند. وجه تمایز بانک‌ها با شرکت‌های بیمه و صندوق‌های بازنشستگی در این است که بانک‌های تجاری عمدتاً وجوه حاصل از فروش تعهدات خود را نیز در مسیر ایجاد دارایی‌های مالی منحصر به فرد برای متقاضیان وام صرف می‌کنند. وام‌های اعطایی بانک‌های تجاری نیز همانند سپرده‌های آن‌ها از بابت اندازه، سررسید، نرخ و ... متفاوت اند. البته</w:t>
      </w:r>
      <w:r w:rsidR="00DA2E78">
        <w:rPr>
          <w:rFonts w:ascii="Times New Roman" w:hAnsi="Times New Roman" w:cs="B Zar" w:hint="cs"/>
          <w:sz w:val="28"/>
          <w:szCs w:val="28"/>
          <w:rtl/>
          <w:lang w:bidi="fa-IR"/>
        </w:rPr>
        <w:t xml:space="preserve"> دارایی‌های</w:t>
      </w:r>
      <w:r w:rsidR="0086007B">
        <w:rPr>
          <w:rFonts w:ascii="Times New Roman" w:hAnsi="Times New Roman" w:cs="B Zar" w:hint="cs"/>
          <w:sz w:val="28"/>
          <w:szCs w:val="28"/>
          <w:rtl/>
          <w:lang w:bidi="fa-IR"/>
        </w:rPr>
        <w:t xml:space="preserve"> بانک‌های تجاری نیز </w:t>
      </w:r>
      <w:r w:rsidR="00DA2E78">
        <w:rPr>
          <w:rFonts w:ascii="Times New Roman" w:hAnsi="Times New Roman" w:cs="B Zar" w:hint="cs"/>
          <w:sz w:val="28"/>
          <w:szCs w:val="28"/>
          <w:rtl/>
          <w:lang w:bidi="fa-IR"/>
        </w:rPr>
        <w:t xml:space="preserve">همانند سایر واسطه‌های مالی سبد اوراق بهادار را نیز شامل می‌شود. اما عمده‌ی دارایی‌های بانک‌های تجاری از جنس وام می‌باشد.  </w:t>
      </w:r>
      <w:r w:rsidR="0086007B">
        <w:rPr>
          <w:rFonts w:ascii="Times New Roman" w:hAnsi="Times New Roman" w:cs="B Zar" w:hint="cs"/>
          <w:sz w:val="28"/>
          <w:szCs w:val="28"/>
          <w:rtl/>
          <w:lang w:bidi="fa-IR"/>
        </w:rPr>
        <w:t xml:space="preserve"> </w:t>
      </w:r>
    </w:p>
    <w:p w:rsidR="000070D6" w:rsidRDefault="000070D6" w:rsidP="00936E05">
      <w:pPr>
        <w:pStyle w:val="ListParagraph"/>
        <w:numPr>
          <w:ilvl w:val="0"/>
          <w:numId w:val="5"/>
        </w:numPr>
        <w:bidi/>
        <w:spacing w:after="0" w:line="240" w:lineRule="auto"/>
        <w:jc w:val="lowKashida"/>
        <w:rPr>
          <w:rFonts w:ascii="Times New Roman" w:hAnsi="Times New Roman" w:cs="B Zar"/>
          <w:sz w:val="28"/>
          <w:szCs w:val="28"/>
          <w:lang w:bidi="fa-IR"/>
        </w:rPr>
      </w:pPr>
      <w:r w:rsidRPr="000070D6">
        <w:rPr>
          <w:rFonts w:ascii="Times New Roman" w:hAnsi="Times New Roman" w:cs="B Zar" w:hint="cs"/>
          <w:sz w:val="28"/>
          <w:szCs w:val="28"/>
          <w:rtl/>
          <w:lang w:bidi="fa-IR"/>
        </w:rPr>
        <w:t>ترکیب دارایی‌ها در ترازنامه‌ی شرکت‌های لیزینگ به‌گونه‌ای است که به شیوه‌ای مؤثر امکان تأمین مالی از طریق اوراق بهادار با پشتوانه‌ی دارایی را فراهم می‌آورد. سمت راست ترازنامه‌ی شرکت‌های لیزینگ عمدتاً شامل دارایی‌هایی نظیر، تجهیزات، اتومبیل، املاک و مستغلات و ... است. بخش عمده‌ی این دارایی‌ها شامل قراردادهای واسپاری است. بدین ترتیب در حالی که دارایی‌های یادشده تحت مالکیت شرکت‌های لیزینگ است، به مشتریان اجازه داده می‌شوند. این قراردادهای اجاره جریان‌های نقدی نسبتاً ثابتی را برای شرکت‌های لیزینگ ایجاد می‌کند. تأمین مالی ساختاریافته از طریق تبدیل به اوراق بهادارکردن این قراردادهای اجاره، شیوه‌ی مؤثری را برای تأمین مالی در اختیار لیزینگ‌ها قرار می‌دهد. شرکت‌های لیزینگ می‌توانند با فروش جریان‌های نقدی حاصل از قراردادهای واسپاری، سرمایه لازم را برای خرید دارایی‌ها و واسپاری آن‌ها به مشتریان فراهم آورند.</w:t>
      </w:r>
      <w:r>
        <w:rPr>
          <w:rFonts w:ascii="Times New Roman" w:hAnsi="Times New Roman" w:cs="B Zar" w:hint="cs"/>
          <w:sz w:val="28"/>
          <w:szCs w:val="28"/>
          <w:rtl/>
          <w:lang w:bidi="fa-IR"/>
        </w:rPr>
        <w:t xml:space="preserve"> </w:t>
      </w:r>
      <w:r w:rsidRPr="000070D6">
        <w:rPr>
          <w:rFonts w:ascii="Times New Roman" w:hAnsi="Times New Roman" w:cs="B Zar" w:hint="cs"/>
          <w:sz w:val="28"/>
          <w:szCs w:val="28"/>
          <w:rtl/>
          <w:lang w:bidi="fa-IR"/>
        </w:rPr>
        <w:t>بدین ترتیب شرکت‌های لیزینگ می‌توانند با انتشار «اوراق بهادار با پشتوانه‌ی قراردادهای واسپاری» تأمین مالی کنند. این اوراق پس از انتشار و فروش در بازار اولیه، در بازار ثانویه میان خریداران دست به دست می‌شوند. وجود بازار ثانویه‌ی فعال برای این اوراق بر جذابیت آن‌ها می‌افزاید.  شرکت‌های لیزینگ می‌توانند به پشتوانه‌ی انواع قراردادهای واسپاری که در ترازنامه‌ی خود دارند، انواع اوراق بهادار با پشتوانه‌ی قراردادهای واسپاری منتشر کنند. اگر دارایی مورداجاره اتومبیل باشد، به اوراق بهادار حاصل «اوراق بهادار با پشتوانه‌ی قراردادهای واسپاری اتومبیل</w:t>
      </w:r>
      <w:r w:rsidRPr="000070D6">
        <w:rPr>
          <w:rFonts w:ascii="Times New Roman" w:hAnsi="Times New Roman" w:cs="B Zar"/>
          <w:sz w:val="28"/>
          <w:szCs w:val="28"/>
          <w:rtl/>
          <w:lang w:bidi="fa-IR"/>
        </w:rPr>
        <w:footnoteReference w:id="1"/>
      </w:r>
      <w:r w:rsidRPr="000070D6">
        <w:rPr>
          <w:rFonts w:ascii="Times New Roman" w:hAnsi="Times New Roman" w:cs="B Zar" w:hint="cs"/>
          <w:sz w:val="28"/>
          <w:szCs w:val="28"/>
          <w:rtl/>
          <w:lang w:bidi="fa-IR"/>
        </w:rPr>
        <w:t xml:space="preserve">» گویند؛ به همین ترتیب اگر </w:t>
      </w:r>
      <w:r w:rsidRPr="000070D6">
        <w:rPr>
          <w:rFonts w:ascii="Times New Roman" w:hAnsi="Times New Roman" w:cs="B Zar" w:hint="cs"/>
          <w:sz w:val="28"/>
          <w:szCs w:val="28"/>
          <w:rtl/>
          <w:lang w:bidi="fa-IR"/>
        </w:rPr>
        <w:lastRenderedPageBreak/>
        <w:t>موضوع قراردادهای واسپاری، تجهیزات، مستغلات تجاری، مسکونی و ... باشد، اوراق بهادار با پشتوانه‌ی قراردادهای واسپاری مربوطه حاصل می‌شود. اوراق بهادار با پشتوانه‌ی قراردادهای واسپاری گزینه‌ای جذاب برای تأمین مالی شرکت‌های لیزینگ محسوب می‌شود. در حال حاضر بسیاری از شرکت‌های لیزینگ در سراسر دنیا از این روش جهت فروش قراردادهای واسپاری خود در بازار سرمایه استفاده می‌کنند، و ضمن تأمین مالی فرصت‌های سرمایه‌گذاری جدیدی را برای فعالان بازار سرمایه فراهم می‌کنند.</w:t>
      </w:r>
    </w:p>
    <w:p w:rsidR="00DA2E78" w:rsidRDefault="00DA2E78" w:rsidP="00607951">
      <w:pPr>
        <w:pStyle w:val="ListParagraph"/>
        <w:numPr>
          <w:ilvl w:val="0"/>
          <w:numId w:val="5"/>
        </w:numPr>
        <w:bidi/>
        <w:spacing w:after="0" w:line="240" w:lineRule="auto"/>
        <w:jc w:val="lowKashida"/>
        <w:rPr>
          <w:rFonts w:ascii="Times New Roman" w:hAnsi="Times New Roman" w:cs="B Zar"/>
          <w:sz w:val="28"/>
          <w:szCs w:val="28"/>
          <w:lang w:bidi="fa-IR"/>
        </w:rPr>
      </w:pPr>
      <w:r>
        <w:rPr>
          <w:rFonts w:ascii="Times New Roman" w:hAnsi="Times New Roman" w:cs="B Zar" w:hint="cs"/>
          <w:sz w:val="28"/>
          <w:szCs w:val="28"/>
          <w:rtl/>
          <w:lang w:bidi="fa-IR"/>
        </w:rPr>
        <w:t xml:space="preserve">ابزار عمومی </w:t>
      </w:r>
      <w:r w:rsidR="00607951">
        <w:rPr>
          <w:rFonts w:ascii="Times New Roman" w:hAnsi="Times New Roman" w:cs="B Zar" w:hint="cs"/>
          <w:sz w:val="28"/>
          <w:szCs w:val="28"/>
          <w:rtl/>
          <w:lang w:bidi="fa-IR"/>
        </w:rPr>
        <w:t>حق مالی</w:t>
      </w:r>
      <w:r>
        <w:rPr>
          <w:rFonts w:ascii="Times New Roman" w:hAnsi="Times New Roman" w:cs="B Zar" w:hint="cs"/>
          <w:sz w:val="28"/>
          <w:szCs w:val="28"/>
          <w:rtl/>
          <w:lang w:bidi="fa-IR"/>
        </w:rPr>
        <w:t xml:space="preserve"> شامل</w:t>
      </w:r>
      <w:r w:rsidR="00607951">
        <w:rPr>
          <w:rFonts w:ascii="Times New Roman" w:hAnsi="Times New Roman" w:cs="B Zar" w:hint="cs"/>
          <w:sz w:val="28"/>
          <w:szCs w:val="28"/>
          <w:rtl/>
          <w:lang w:bidi="fa-IR"/>
        </w:rPr>
        <w:t xml:space="preserve"> سهام شرکت‌های ساختمانی بورسی،</w:t>
      </w:r>
      <w:r>
        <w:rPr>
          <w:rFonts w:ascii="Times New Roman" w:hAnsi="Times New Roman" w:cs="B Zar" w:hint="cs"/>
          <w:sz w:val="28"/>
          <w:szCs w:val="28"/>
          <w:rtl/>
          <w:lang w:bidi="fa-IR"/>
        </w:rPr>
        <w:t xml:space="preserve"> </w:t>
      </w:r>
      <w:r w:rsidR="00607951">
        <w:rPr>
          <w:rFonts w:ascii="Times New Roman" w:hAnsi="Times New Roman" w:cs="B Zar" w:hint="cs"/>
          <w:sz w:val="28"/>
          <w:szCs w:val="28"/>
          <w:rtl/>
          <w:lang w:bidi="fa-IR"/>
        </w:rPr>
        <w:t xml:space="preserve"> واحدهای سرمایه‌گذاری </w:t>
      </w:r>
      <w:r>
        <w:rPr>
          <w:rFonts w:ascii="Times New Roman" w:hAnsi="Times New Roman" w:cs="B Zar" w:hint="cs"/>
          <w:sz w:val="28"/>
          <w:szCs w:val="28"/>
          <w:rtl/>
          <w:lang w:bidi="fa-IR"/>
        </w:rPr>
        <w:t xml:space="preserve">صندوق‌های سرمایه‌گذاری </w:t>
      </w:r>
      <w:r w:rsidR="00607951">
        <w:rPr>
          <w:rFonts w:ascii="Times New Roman" w:hAnsi="Times New Roman" w:cs="B Zar" w:hint="cs"/>
          <w:sz w:val="28"/>
          <w:szCs w:val="28"/>
          <w:rtl/>
          <w:lang w:bidi="fa-IR"/>
        </w:rPr>
        <w:t>مستغلات و صندوق‌های زمین و ساختمان، و صندوق‌های سرمایه‌گذاری مشترک در زمینه‌ی سهام شرکت‌های ساختمانی بورسی است. ابزار عمومی بدهی نیز شامل اوراق قرضه‌ی شرکت‌های ساختمانی و اوراق بهادار با پشتوانه‌ی رهن است.</w:t>
      </w:r>
    </w:p>
    <w:p w:rsidR="00607951" w:rsidRDefault="00145771" w:rsidP="00145771">
      <w:pPr>
        <w:pStyle w:val="ListParagraph"/>
        <w:bidi/>
        <w:spacing w:after="0" w:line="240" w:lineRule="auto"/>
        <w:ind w:left="360"/>
        <w:jc w:val="lowKashida"/>
        <w:rPr>
          <w:rFonts w:ascii="Times New Roman" w:hAnsi="Times New Roman" w:cs="B Zar"/>
          <w:sz w:val="28"/>
          <w:szCs w:val="28"/>
          <w:rtl/>
          <w:lang w:bidi="fa-IR"/>
        </w:rPr>
      </w:pPr>
      <w:r>
        <w:rPr>
          <w:rFonts w:ascii="Times New Roman" w:hAnsi="Times New Roman" w:cs="B Zar" w:hint="cs"/>
          <w:sz w:val="28"/>
          <w:szCs w:val="28"/>
          <w:rtl/>
          <w:lang w:bidi="fa-IR"/>
        </w:rPr>
        <w:t>ابزار خصوصی حق مالی شامل املاک و مستغلات، سهام شرکت‌های سهامی خاص فعال در زمینه‌ی املاک و مستغلات و نیز واحدهای سرمایه‌گذاری صندوق‌های حفظ ارزش است. ابزار خصوصی بدهی نیز شامل وام‌های ساخت و ساز، وام‌های رهنی و ... می‌باشد.</w:t>
      </w:r>
    </w:p>
    <w:p w:rsidR="00145771" w:rsidRDefault="00145771" w:rsidP="00145771">
      <w:pPr>
        <w:pStyle w:val="ListParagraph"/>
        <w:bidi/>
        <w:spacing w:after="0" w:line="240" w:lineRule="auto"/>
        <w:ind w:left="360"/>
        <w:jc w:val="lowKashida"/>
        <w:rPr>
          <w:rFonts w:ascii="Times New Roman" w:hAnsi="Times New Roman" w:cs="B Zar"/>
          <w:sz w:val="28"/>
          <w:szCs w:val="28"/>
          <w:lang w:bidi="fa-IR"/>
        </w:rPr>
      </w:pPr>
      <w:r>
        <w:rPr>
          <w:rFonts w:ascii="Times New Roman" w:hAnsi="Times New Roman" w:cs="B Zar" w:hint="cs"/>
          <w:sz w:val="28"/>
          <w:szCs w:val="28"/>
          <w:rtl/>
          <w:lang w:bidi="fa-IR"/>
        </w:rPr>
        <w:t xml:space="preserve">ابزار </w:t>
      </w:r>
    </w:p>
    <w:p w:rsidR="00DA2E78" w:rsidRPr="000070D6" w:rsidRDefault="00DA2E78" w:rsidP="00145771">
      <w:pPr>
        <w:pStyle w:val="ListParagraph"/>
        <w:bidi/>
        <w:spacing w:after="0" w:line="240" w:lineRule="auto"/>
        <w:ind w:left="360"/>
        <w:jc w:val="lowKashida"/>
        <w:rPr>
          <w:rFonts w:ascii="Times New Roman" w:hAnsi="Times New Roman" w:cs="B Zar"/>
          <w:sz w:val="28"/>
          <w:szCs w:val="28"/>
          <w:rtl/>
          <w:lang w:bidi="fa-IR"/>
        </w:rPr>
      </w:pPr>
    </w:p>
    <w:tbl>
      <w:tblPr>
        <w:bidiVisual/>
        <w:tblW w:w="0" w:type="auto"/>
        <w:tblInd w:w="380" w:type="dxa"/>
        <w:tblCellMar>
          <w:left w:w="0" w:type="dxa"/>
          <w:right w:w="0" w:type="dxa"/>
        </w:tblCellMar>
        <w:tblLook w:val="0600" w:firstRow="0" w:lastRow="0" w:firstColumn="0" w:lastColumn="0" w:noHBand="1" w:noVBand="1"/>
      </w:tblPr>
      <w:tblGrid>
        <w:gridCol w:w="2528"/>
        <w:gridCol w:w="2565"/>
        <w:gridCol w:w="3037"/>
      </w:tblGrid>
      <w:tr w:rsidR="00607951" w:rsidRPr="00607951" w:rsidTr="00607951">
        <w:trPr>
          <w:trHeight w:val="633"/>
        </w:trPr>
        <w:tc>
          <w:tcPr>
            <w:tcW w:w="0" w:type="auto"/>
            <w:tcBorders>
              <w:top w:val="nil"/>
              <w:bottom w:val="single" w:sz="8" w:space="0" w:color="000000"/>
              <w:right w:val="nil"/>
            </w:tcBorders>
            <w:shd w:val="clear" w:color="auto" w:fill="auto"/>
            <w:tcMar>
              <w:top w:w="15" w:type="dxa"/>
              <w:left w:w="108" w:type="dxa"/>
              <w:bottom w:w="0" w:type="dxa"/>
              <w:right w:w="108" w:type="dxa"/>
            </w:tcMar>
            <w:vAlign w:val="center"/>
            <w:hideMark/>
          </w:tcPr>
          <w:p w:rsidR="00607951" w:rsidRPr="00607951" w:rsidRDefault="00607951" w:rsidP="00607951">
            <w:pPr>
              <w:bidi/>
              <w:spacing w:after="240" w:line="240" w:lineRule="auto"/>
              <w:jc w:val="lowKashida"/>
              <w:rPr>
                <w:rFonts w:cs="B Zar"/>
                <w:lang w:bidi="fa-IR"/>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2EFC" w:rsidRPr="00607951" w:rsidRDefault="00607951" w:rsidP="00607951">
            <w:pPr>
              <w:bidi/>
              <w:spacing w:after="240" w:line="240" w:lineRule="auto"/>
              <w:jc w:val="center"/>
              <w:rPr>
                <w:rFonts w:cs="B Zar"/>
                <w:lang w:bidi="fa-IR"/>
              </w:rPr>
            </w:pPr>
            <w:r w:rsidRPr="00607951">
              <w:rPr>
                <w:rFonts w:cs="B Zar" w:hint="cs"/>
                <w:b/>
                <w:bCs/>
                <w:rtl/>
                <w:lang w:bidi="fa-IR"/>
              </w:rPr>
              <w:t>بازارهای عمومی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2EFC" w:rsidRPr="00607951" w:rsidRDefault="00607951" w:rsidP="00607951">
            <w:pPr>
              <w:bidi/>
              <w:spacing w:after="240" w:line="240" w:lineRule="auto"/>
              <w:jc w:val="center"/>
              <w:rPr>
                <w:rFonts w:cs="B Zar"/>
                <w:lang w:bidi="fa-IR"/>
              </w:rPr>
            </w:pPr>
            <w:r w:rsidRPr="00607951">
              <w:rPr>
                <w:rFonts w:cs="B Zar" w:hint="cs"/>
                <w:b/>
                <w:bCs/>
                <w:rtl/>
                <w:lang w:bidi="fa-IR"/>
              </w:rPr>
              <w:t>بازارهای خصوصی</w:t>
            </w:r>
          </w:p>
        </w:tc>
      </w:tr>
      <w:tr w:rsidR="00607951" w:rsidRPr="00607951" w:rsidTr="00145771">
        <w:trPr>
          <w:trHeight w:val="138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2EFC" w:rsidRPr="00607951" w:rsidRDefault="00607951" w:rsidP="00607951">
            <w:pPr>
              <w:bidi/>
              <w:spacing w:after="240" w:line="240" w:lineRule="auto"/>
              <w:jc w:val="lowKashida"/>
              <w:rPr>
                <w:rFonts w:cs="B Zar"/>
                <w:lang w:bidi="fa-IR"/>
              </w:rPr>
            </w:pPr>
            <w:r w:rsidRPr="00607951">
              <w:rPr>
                <w:rFonts w:cs="B Zar" w:hint="cs"/>
                <w:b/>
                <w:bCs/>
                <w:rtl/>
                <w:lang w:bidi="fa-IR"/>
              </w:rPr>
              <w:t>دارایی‌های مبتنی بر حق مالی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7951" w:rsidRPr="00607951" w:rsidRDefault="00607951" w:rsidP="00607951">
            <w:pPr>
              <w:bidi/>
              <w:spacing w:after="240" w:line="240" w:lineRule="auto"/>
              <w:jc w:val="lowKashida"/>
              <w:rPr>
                <w:rFonts w:cs="B Zar"/>
                <w:rtl/>
              </w:rPr>
            </w:pPr>
            <w:r w:rsidRPr="00607951">
              <w:rPr>
                <w:rFonts w:cs="B Zar" w:hint="cs"/>
                <w:rtl/>
                <w:lang w:bidi="fa-IR"/>
              </w:rPr>
              <w:t>سهام</w:t>
            </w:r>
          </w:p>
          <w:p w:rsidR="00607951" w:rsidRPr="00607951" w:rsidRDefault="00607951" w:rsidP="00607951">
            <w:pPr>
              <w:bidi/>
              <w:spacing w:after="240" w:line="240" w:lineRule="auto"/>
              <w:jc w:val="lowKashida"/>
              <w:rPr>
                <w:rFonts w:cs="B Zar"/>
                <w:lang w:bidi="fa-IR"/>
              </w:rPr>
            </w:pPr>
            <w:r w:rsidRPr="00607951">
              <w:rPr>
                <w:rFonts w:cs="B Zar" w:hint="cs"/>
                <w:rtl/>
                <w:lang w:bidi="fa-IR"/>
              </w:rPr>
              <w:t>صندوق‌های سرمایه‌گذاری مستغلات</w:t>
            </w:r>
          </w:p>
          <w:p w:rsidR="00607951" w:rsidRPr="00607951" w:rsidRDefault="00607951" w:rsidP="00607951">
            <w:pPr>
              <w:bidi/>
              <w:spacing w:after="240" w:line="240" w:lineRule="auto"/>
              <w:jc w:val="lowKashida"/>
              <w:rPr>
                <w:rFonts w:cs="B Zar"/>
                <w:lang w:bidi="fa-IR"/>
              </w:rPr>
            </w:pPr>
            <w:r w:rsidRPr="00607951">
              <w:rPr>
                <w:rFonts w:cs="B Zar" w:hint="cs"/>
                <w:rtl/>
                <w:lang w:bidi="fa-IR"/>
              </w:rPr>
              <w:t>صندوق‌های زمین و ساختمان</w:t>
            </w:r>
          </w:p>
          <w:p w:rsidR="00F62EFC" w:rsidRPr="00607951" w:rsidRDefault="00607951" w:rsidP="00607951">
            <w:pPr>
              <w:bidi/>
              <w:spacing w:after="240" w:line="240" w:lineRule="auto"/>
              <w:jc w:val="lowKashida"/>
              <w:rPr>
                <w:rFonts w:cs="B Zar"/>
                <w:lang w:bidi="fa-IR"/>
              </w:rPr>
            </w:pPr>
            <w:r w:rsidRPr="00607951">
              <w:rPr>
                <w:rFonts w:cs="B Zar" w:hint="cs"/>
                <w:rtl/>
                <w:lang w:bidi="fa-IR"/>
              </w:rPr>
              <w:t>صندوق‌های سرمایه‌گذاری مشترک</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7951" w:rsidRPr="00607951" w:rsidRDefault="00607951" w:rsidP="00607951">
            <w:pPr>
              <w:bidi/>
              <w:spacing w:after="240" w:line="240" w:lineRule="auto"/>
              <w:jc w:val="lowKashida"/>
              <w:rPr>
                <w:rFonts w:cs="B Zar"/>
                <w:rtl/>
              </w:rPr>
            </w:pPr>
            <w:r w:rsidRPr="00607951">
              <w:rPr>
                <w:rFonts w:cs="B Zar" w:hint="cs"/>
                <w:rtl/>
                <w:lang w:bidi="fa-IR"/>
              </w:rPr>
              <w:t>املاک</w:t>
            </w:r>
          </w:p>
          <w:p w:rsidR="00607951" w:rsidRPr="00607951" w:rsidRDefault="00607951" w:rsidP="00607951">
            <w:pPr>
              <w:bidi/>
              <w:spacing w:after="240" w:line="240" w:lineRule="auto"/>
              <w:jc w:val="lowKashida"/>
              <w:rPr>
                <w:rFonts w:cs="B Zar"/>
                <w:lang w:bidi="fa-IR"/>
              </w:rPr>
            </w:pPr>
            <w:r w:rsidRPr="00607951">
              <w:rPr>
                <w:rFonts w:cs="B Zar" w:hint="cs"/>
                <w:rtl/>
                <w:lang w:bidi="fa-IR"/>
              </w:rPr>
              <w:t>صندوق سهامی‌خاص‌ها</w:t>
            </w:r>
          </w:p>
          <w:p w:rsidR="00F62EFC" w:rsidRPr="00607951" w:rsidRDefault="00607951" w:rsidP="00607951">
            <w:pPr>
              <w:bidi/>
              <w:spacing w:after="240" w:line="240" w:lineRule="auto"/>
              <w:jc w:val="lowKashida"/>
              <w:rPr>
                <w:rFonts w:cs="B Zar"/>
                <w:lang w:bidi="fa-IR"/>
              </w:rPr>
            </w:pPr>
            <w:r w:rsidRPr="00607951">
              <w:rPr>
                <w:rFonts w:cs="B Zar" w:hint="cs"/>
                <w:rtl/>
                <w:lang w:bidi="fa-IR"/>
              </w:rPr>
              <w:t>صندوق‌های حفظ</w:t>
            </w:r>
            <w:r w:rsidRPr="00607951">
              <w:rPr>
                <w:rFonts w:cs="B Zar"/>
                <w:rtl/>
                <w:lang w:bidi="fa-IR"/>
              </w:rPr>
              <w:t xml:space="preserve"> ارزش</w:t>
            </w:r>
          </w:p>
        </w:tc>
      </w:tr>
      <w:tr w:rsidR="00607951" w:rsidRPr="00607951" w:rsidTr="00145771">
        <w:trPr>
          <w:trHeight w:val="91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2EFC" w:rsidRPr="00607951" w:rsidRDefault="00607951" w:rsidP="00607951">
            <w:pPr>
              <w:bidi/>
              <w:spacing w:after="240" w:line="240" w:lineRule="auto"/>
              <w:jc w:val="lowKashida"/>
              <w:rPr>
                <w:rFonts w:cs="B Zar"/>
                <w:lang w:bidi="fa-IR"/>
              </w:rPr>
            </w:pPr>
            <w:r w:rsidRPr="00607951">
              <w:rPr>
                <w:rFonts w:cs="B Zar" w:hint="cs"/>
                <w:b/>
                <w:bCs/>
                <w:rtl/>
                <w:lang w:bidi="fa-IR"/>
              </w:rPr>
              <w:t>دارایی‌های مبتنی بر بدهی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7951" w:rsidRPr="00607951" w:rsidRDefault="00607951" w:rsidP="00607951">
            <w:pPr>
              <w:bidi/>
              <w:spacing w:after="240" w:line="240" w:lineRule="auto"/>
              <w:jc w:val="lowKashida"/>
              <w:rPr>
                <w:rFonts w:cs="B Zar"/>
                <w:rtl/>
              </w:rPr>
            </w:pPr>
            <w:r w:rsidRPr="00607951">
              <w:rPr>
                <w:rFonts w:cs="B Zar" w:hint="cs"/>
                <w:rtl/>
                <w:lang w:bidi="fa-IR"/>
              </w:rPr>
              <w:t>اوراق قرضه</w:t>
            </w:r>
          </w:p>
          <w:p w:rsidR="00F62EFC" w:rsidRPr="00607951" w:rsidRDefault="00607951" w:rsidP="00607951">
            <w:pPr>
              <w:bidi/>
              <w:spacing w:after="240" w:line="240" w:lineRule="auto"/>
              <w:jc w:val="lowKashida"/>
              <w:rPr>
                <w:rFonts w:cs="B Zar"/>
                <w:lang w:bidi="fa-IR"/>
              </w:rPr>
            </w:pPr>
            <w:r w:rsidRPr="00607951">
              <w:rPr>
                <w:rFonts w:cs="B Zar" w:hint="cs"/>
                <w:rtl/>
                <w:lang w:bidi="fa-IR"/>
              </w:rPr>
              <w:t>اوراق بهادار با پشتوانۀ رهن</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07951" w:rsidRPr="00607951" w:rsidRDefault="00607951" w:rsidP="00607951">
            <w:pPr>
              <w:bidi/>
              <w:spacing w:after="240" w:line="240" w:lineRule="auto"/>
              <w:jc w:val="lowKashida"/>
              <w:rPr>
                <w:rFonts w:cs="B Zar"/>
                <w:rtl/>
              </w:rPr>
            </w:pPr>
            <w:r w:rsidRPr="00607951">
              <w:rPr>
                <w:rFonts w:cs="B Zar" w:hint="cs"/>
                <w:rtl/>
                <w:lang w:bidi="fa-IR"/>
              </w:rPr>
              <w:t>وام‌های بانکی</w:t>
            </w:r>
          </w:p>
          <w:p w:rsidR="00607951" w:rsidRPr="00607951" w:rsidRDefault="00607951" w:rsidP="00607951">
            <w:pPr>
              <w:bidi/>
              <w:spacing w:after="240" w:line="240" w:lineRule="auto"/>
              <w:jc w:val="lowKashida"/>
              <w:rPr>
                <w:rFonts w:cs="B Zar"/>
                <w:lang w:bidi="fa-IR"/>
              </w:rPr>
            </w:pPr>
            <w:r w:rsidRPr="00607951">
              <w:rPr>
                <w:rFonts w:cs="B Zar" w:hint="cs"/>
                <w:rtl/>
                <w:lang w:bidi="fa-IR"/>
              </w:rPr>
              <w:t>وام‌های رهنی</w:t>
            </w:r>
          </w:p>
          <w:p w:rsidR="00F62EFC" w:rsidRPr="00607951" w:rsidRDefault="00607951" w:rsidP="00607951">
            <w:pPr>
              <w:bidi/>
              <w:spacing w:after="240" w:line="240" w:lineRule="auto"/>
              <w:jc w:val="lowKashida"/>
              <w:rPr>
                <w:rFonts w:cs="B Zar"/>
                <w:lang w:bidi="fa-IR"/>
              </w:rPr>
            </w:pPr>
            <w:r w:rsidRPr="00607951">
              <w:rPr>
                <w:rFonts w:cs="B Zar" w:hint="cs"/>
                <w:rtl/>
                <w:lang w:bidi="fa-IR"/>
              </w:rPr>
              <w:t>وام‌های مخاطره‌آمیز و وام‌های قبضۀ مالکیت</w:t>
            </w:r>
          </w:p>
        </w:tc>
      </w:tr>
    </w:tbl>
    <w:p w:rsidR="000070D6" w:rsidRPr="00711AE3" w:rsidRDefault="000070D6" w:rsidP="000070D6">
      <w:pPr>
        <w:bidi/>
        <w:spacing w:after="240" w:line="240" w:lineRule="auto"/>
        <w:jc w:val="lowKashida"/>
        <w:rPr>
          <w:rtl/>
          <w:lang w:bidi="fa-IR"/>
        </w:rPr>
      </w:pPr>
    </w:p>
    <w:sectPr w:rsidR="000070D6" w:rsidRPr="00711AE3" w:rsidSect="006B4543">
      <w:pgSz w:w="11907" w:h="16840" w:code="9"/>
      <w:pgMar w:top="1134" w:right="1701" w:bottom="1134" w:left="1701" w:header="567" w:footer="567"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DB" w:rsidRDefault="008E59DB" w:rsidP="000070D6">
      <w:pPr>
        <w:spacing w:after="0" w:line="240" w:lineRule="auto"/>
      </w:pPr>
      <w:r>
        <w:separator/>
      </w:r>
    </w:p>
  </w:endnote>
  <w:endnote w:type="continuationSeparator" w:id="0">
    <w:p w:rsidR="008E59DB" w:rsidRDefault="008E59DB" w:rsidP="0000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DB" w:rsidRDefault="008E59DB" w:rsidP="000070D6">
      <w:pPr>
        <w:spacing w:after="0" w:line="240" w:lineRule="auto"/>
      </w:pPr>
      <w:r>
        <w:separator/>
      </w:r>
    </w:p>
  </w:footnote>
  <w:footnote w:type="continuationSeparator" w:id="0">
    <w:p w:rsidR="008E59DB" w:rsidRDefault="008E59DB" w:rsidP="000070D6">
      <w:pPr>
        <w:spacing w:after="0" w:line="240" w:lineRule="auto"/>
      </w:pPr>
      <w:r>
        <w:continuationSeparator/>
      </w:r>
    </w:p>
  </w:footnote>
  <w:footnote w:id="1">
    <w:p w:rsidR="000070D6" w:rsidRDefault="000070D6" w:rsidP="000070D6">
      <w:pPr>
        <w:pStyle w:val="FootnoteText"/>
        <w:rPr>
          <w:lang w:bidi="fa-IR"/>
        </w:rPr>
      </w:pPr>
      <w:r>
        <w:rPr>
          <w:rStyle w:val="FootnoteReference"/>
        </w:rPr>
        <w:footnoteRef/>
      </w:r>
      <w:r>
        <w:t xml:space="preserve"> </w:t>
      </w:r>
      <w:r>
        <w:rPr>
          <w:lang w:bidi="fa-IR"/>
        </w:rPr>
        <w:t>auto lease  asset-backed securities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615"/>
    <w:multiLevelType w:val="hybridMultilevel"/>
    <w:tmpl w:val="F64E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05638"/>
    <w:multiLevelType w:val="hybridMultilevel"/>
    <w:tmpl w:val="42484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640A20"/>
    <w:multiLevelType w:val="hybridMultilevel"/>
    <w:tmpl w:val="2858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A10E4"/>
    <w:multiLevelType w:val="hybridMultilevel"/>
    <w:tmpl w:val="1172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560A0"/>
    <w:multiLevelType w:val="hybridMultilevel"/>
    <w:tmpl w:val="EA22D158"/>
    <w:lvl w:ilvl="0" w:tplc="4E52F4C0">
      <w:start w:val="1"/>
      <w:numFmt w:val="decimal"/>
      <w:lvlText w:val="%1."/>
      <w:lvlJc w:val="left"/>
      <w:pPr>
        <w:ind w:left="720" w:hanging="360"/>
      </w:pPr>
      <w:rPr>
        <w:rFonts w:cs="B Titr"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43"/>
    <w:rsid w:val="000070D6"/>
    <w:rsid w:val="00031ABF"/>
    <w:rsid w:val="0004421C"/>
    <w:rsid w:val="000C258E"/>
    <w:rsid w:val="00113C5A"/>
    <w:rsid w:val="00145771"/>
    <w:rsid w:val="001F738F"/>
    <w:rsid w:val="00230992"/>
    <w:rsid w:val="002E123F"/>
    <w:rsid w:val="00304EEF"/>
    <w:rsid w:val="003B01C9"/>
    <w:rsid w:val="003E6410"/>
    <w:rsid w:val="004B2F1A"/>
    <w:rsid w:val="004C31B0"/>
    <w:rsid w:val="004E261F"/>
    <w:rsid w:val="005613EB"/>
    <w:rsid w:val="00597E9A"/>
    <w:rsid w:val="005D310F"/>
    <w:rsid w:val="005E5E45"/>
    <w:rsid w:val="00607951"/>
    <w:rsid w:val="00652354"/>
    <w:rsid w:val="0069560E"/>
    <w:rsid w:val="006A6F4E"/>
    <w:rsid w:val="006B4543"/>
    <w:rsid w:val="00711AE3"/>
    <w:rsid w:val="00784D0C"/>
    <w:rsid w:val="007A5746"/>
    <w:rsid w:val="0086007B"/>
    <w:rsid w:val="008D3395"/>
    <w:rsid w:val="008E59DB"/>
    <w:rsid w:val="00923A3A"/>
    <w:rsid w:val="00936E05"/>
    <w:rsid w:val="009F660E"/>
    <w:rsid w:val="00A21EEF"/>
    <w:rsid w:val="00AC2750"/>
    <w:rsid w:val="00AE4A74"/>
    <w:rsid w:val="00B3487B"/>
    <w:rsid w:val="00BB5225"/>
    <w:rsid w:val="00CC7077"/>
    <w:rsid w:val="00CC72AF"/>
    <w:rsid w:val="00CC79BC"/>
    <w:rsid w:val="00DA2E78"/>
    <w:rsid w:val="00DC68E9"/>
    <w:rsid w:val="00E10764"/>
    <w:rsid w:val="00E57B95"/>
    <w:rsid w:val="00E96EEE"/>
    <w:rsid w:val="00F02840"/>
    <w:rsid w:val="00F62EFC"/>
    <w:rsid w:val="00F95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43"/>
    <w:pPr>
      <w:ind w:left="720"/>
      <w:contextualSpacing/>
    </w:pPr>
  </w:style>
  <w:style w:type="character" w:styleId="PlaceholderText">
    <w:name w:val="Placeholder Text"/>
    <w:basedOn w:val="DefaultParagraphFont"/>
    <w:uiPriority w:val="99"/>
    <w:semiHidden/>
    <w:rsid w:val="006B4543"/>
    <w:rPr>
      <w:color w:val="808080"/>
    </w:rPr>
  </w:style>
  <w:style w:type="paragraph" w:styleId="BalloonText">
    <w:name w:val="Balloon Text"/>
    <w:basedOn w:val="Normal"/>
    <w:link w:val="BalloonTextChar"/>
    <w:uiPriority w:val="99"/>
    <w:semiHidden/>
    <w:unhideWhenUsed/>
    <w:rsid w:val="006B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43"/>
    <w:rPr>
      <w:rFonts w:ascii="Tahoma" w:hAnsi="Tahoma" w:cs="Tahoma"/>
      <w:sz w:val="16"/>
      <w:szCs w:val="16"/>
    </w:rPr>
  </w:style>
  <w:style w:type="table" w:styleId="TableGrid">
    <w:name w:val="Table Grid"/>
    <w:basedOn w:val="TableNormal"/>
    <w:uiPriority w:val="59"/>
    <w:rsid w:val="006B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70D6"/>
    <w:pPr>
      <w:spacing w:after="0" w:line="240" w:lineRule="auto"/>
      <w:ind w:left="284"/>
      <w:jc w:val="lowKashida"/>
    </w:pPr>
    <w:rPr>
      <w:rFonts w:ascii="Times New Roman" w:hAnsi="Times New Roman" w:cs="B Nazanin"/>
      <w:sz w:val="20"/>
      <w:szCs w:val="20"/>
    </w:rPr>
  </w:style>
  <w:style w:type="character" w:customStyle="1" w:styleId="FootnoteTextChar">
    <w:name w:val="Footnote Text Char"/>
    <w:basedOn w:val="DefaultParagraphFont"/>
    <w:link w:val="FootnoteText"/>
    <w:uiPriority w:val="99"/>
    <w:semiHidden/>
    <w:rsid w:val="000070D6"/>
    <w:rPr>
      <w:rFonts w:ascii="Times New Roman" w:hAnsi="Times New Roman" w:cs="B Nazanin"/>
      <w:sz w:val="20"/>
      <w:szCs w:val="20"/>
    </w:rPr>
  </w:style>
  <w:style w:type="character" w:styleId="FootnoteReference">
    <w:name w:val="footnote reference"/>
    <w:basedOn w:val="DefaultParagraphFont"/>
    <w:uiPriority w:val="99"/>
    <w:semiHidden/>
    <w:unhideWhenUsed/>
    <w:rsid w:val="000070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43"/>
    <w:pPr>
      <w:ind w:left="720"/>
      <w:contextualSpacing/>
    </w:pPr>
  </w:style>
  <w:style w:type="character" w:styleId="PlaceholderText">
    <w:name w:val="Placeholder Text"/>
    <w:basedOn w:val="DefaultParagraphFont"/>
    <w:uiPriority w:val="99"/>
    <w:semiHidden/>
    <w:rsid w:val="006B4543"/>
    <w:rPr>
      <w:color w:val="808080"/>
    </w:rPr>
  </w:style>
  <w:style w:type="paragraph" w:styleId="BalloonText">
    <w:name w:val="Balloon Text"/>
    <w:basedOn w:val="Normal"/>
    <w:link w:val="BalloonTextChar"/>
    <w:uiPriority w:val="99"/>
    <w:semiHidden/>
    <w:unhideWhenUsed/>
    <w:rsid w:val="006B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43"/>
    <w:rPr>
      <w:rFonts w:ascii="Tahoma" w:hAnsi="Tahoma" w:cs="Tahoma"/>
      <w:sz w:val="16"/>
      <w:szCs w:val="16"/>
    </w:rPr>
  </w:style>
  <w:style w:type="table" w:styleId="TableGrid">
    <w:name w:val="Table Grid"/>
    <w:basedOn w:val="TableNormal"/>
    <w:uiPriority w:val="59"/>
    <w:rsid w:val="006B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70D6"/>
    <w:pPr>
      <w:spacing w:after="0" w:line="240" w:lineRule="auto"/>
      <w:ind w:left="284"/>
      <w:jc w:val="lowKashida"/>
    </w:pPr>
    <w:rPr>
      <w:rFonts w:ascii="Times New Roman" w:hAnsi="Times New Roman" w:cs="B Nazanin"/>
      <w:sz w:val="20"/>
      <w:szCs w:val="20"/>
    </w:rPr>
  </w:style>
  <w:style w:type="character" w:customStyle="1" w:styleId="FootnoteTextChar">
    <w:name w:val="Footnote Text Char"/>
    <w:basedOn w:val="DefaultParagraphFont"/>
    <w:link w:val="FootnoteText"/>
    <w:uiPriority w:val="99"/>
    <w:semiHidden/>
    <w:rsid w:val="000070D6"/>
    <w:rPr>
      <w:rFonts w:ascii="Times New Roman" w:hAnsi="Times New Roman" w:cs="B Nazanin"/>
      <w:sz w:val="20"/>
      <w:szCs w:val="20"/>
    </w:rPr>
  </w:style>
  <w:style w:type="character" w:styleId="FootnoteReference">
    <w:name w:val="footnote reference"/>
    <w:basedOn w:val="DefaultParagraphFont"/>
    <w:uiPriority w:val="99"/>
    <w:semiHidden/>
    <w:unhideWhenUsed/>
    <w:rsid w:val="00007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4878">
      <w:bodyDiv w:val="1"/>
      <w:marLeft w:val="0"/>
      <w:marRight w:val="0"/>
      <w:marTop w:val="0"/>
      <w:marBottom w:val="0"/>
      <w:divBdr>
        <w:top w:val="none" w:sz="0" w:space="0" w:color="auto"/>
        <w:left w:val="none" w:sz="0" w:space="0" w:color="auto"/>
        <w:bottom w:val="none" w:sz="0" w:space="0" w:color="auto"/>
        <w:right w:val="none" w:sz="0" w:space="0" w:color="auto"/>
      </w:divBdr>
    </w:div>
    <w:div w:id="1303850219">
      <w:bodyDiv w:val="1"/>
      <w:marLeft w:val="0"/>
      <w:marRight w:val="0"/>
      <w:marTop w:val="0"/>
      <w:marBottom w:val="0"/>
      <w:divBdr>
        <w:top w:val="none" w:sz="0" w:space="0" w:color="auto"/>
        <w:left w:val="none" w:sz="0" w:space="0" w:color="auto"/>
        <w:bottom w:val="none" w:sz="0" w:space="0" w:color="auto"/>
        <w:right w:val="none" w:sz="0" w:space="0" w:color="auto"/>
      </w:divBdr>
    </w:div>
    <w:div w:id="1352999385">
      <w:bodyDiv w:val="1"/>
      <w:marLeft w:val="0"/>
      <w:marRight w:val="0"/>
      <w:marTop w:val="0"/>
      <w:marBottom w:val="0"/>
      <w:divBdr>
        <w:top w:val="none" w:sz="0" w:space="0" w:color="auto"/>
        <w:left w:val="none" w:sz="0" w:space="0" w:color="auto"/>
        <w:bottom w:val="none" w:sz="0" w:space="0" w:color="auto"/>
        <w:right w:val="none" w:sz="0" w:space="0" w:color="auto"/>
      </w:divBdr>
    </w:div>
    <w:div w:id="19169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Rahbar</dc:creator>
  <cp:lastModifiedBy>maysam</cp:lastModifiedBy>
  <cp:revision>2</cp:revision>
  <dcterms:created xsi:type="dcterms:W3CDTF">2014-09-08T05:51:00Z</dcterms:created>
  <dcterms:modified xsi:type="dcterms:W3CDTF">2014-09-08T05:51:00Z</dcterms:modified>
</cp:coreProperties>
</file>